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6F6F6"/>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bookmarkStart w:colFirst="0" w:colLast="0" w:name="_heading=h.r686503fosk4" w:id="0"/>
      <w:bookmarkEnd w:id="0"/>
      <w:r w:rsidDel="00000000" w:rsidR="00000000" w:rsidRPr="00000000">
        <w:rPr>
          <w:rtl w:val="0"/>
        </w:rPr>
      </w:r>
    </w:p>
    <w:p w:rsidR="00000000" w:rsidDel="00000000" w:rsidP="00000000" w:rsidRDefault="00000000" w:rsidRPr="00000000" w14:paraId="00000002">
      <w:pPr>
        <w:pStyle w:val="Subtitle"/>
        <w:rPr/>
      </w:pPr>
      <w:bookmarkStart w:colFirst="0" w:colLast="0" w:name="_heading=h.23he4vyeumjb" w:id="1"/>
      <w:bookmarkEnd w:id="1"/>
      <w:r w:rsidDel="00000000" w:rsidR="00000000" w:rsidRPr="00000000">
        <w:rPr>
          <w:rtl w:val="0"/>
        </w:rPr>
        <w:t xml:space="preserve">Document  III – Specific obligations under Grant Agreement</w:t>
      </w:r>
    </w:p>
    <w:p w:rsidR="00000000" w:rsidDel="00000000" w:rsidP="00000000" w:rsidRDefault="00000000" w:rsidRPr="00000000" w14:paraId="00000003">
      <w:pPr>
        <w:spacing w:after="240" w:before="240" w:lineRule="auto"/>
        <w:rPr/>
      </w:pPr>
      <w:r w:rsidDel="00000000" w:rsidR="00000000" w:rsidRPr="00000000">
        <w:rPr>
          <w:rtl w:val="0"/>
        </w:rPr>
        <w:t xml:space="preserve">As an indirect beneficiary, the Selected Third Party has to fulfill the obligations described in article:</w:t>
      </w:r>
    </w:p>
    <w:p w:rsidR="00000000" w:rsidDel="00000000" w:rsidP="00000000" w:rsidRDefault="00000000" w:rsidRPr="00000000" w14:paraId="00000004">
      <w:pPr>
        <w:numPr>
          <w:ilvl w:val="0"/>
          <w:numId w:val="3"/>
        </w:numPr>
        <w:spacing w:after="0" w:afterAutospacing="0" w:before="240" w:lineRule="auto"/>
        <w:ind w:left="720" w:hanging="360"/>
      </w:pPr>
      <w:r w:rsidDel="00000000" w:rsidR="00000000" w:rsidRPr="00000000">
        <w:rPr>
          <w:rtl w:val="0"/>
        </w:rPr>
        <w:t xml:space="preserve">12 — Conflict Of Interests</w:t>
      </w:r>
    </w:p>
    <w:p w:rsidR="00000000" w:rsidDel="00000000" w:rsidP="00000000" w:rsidRDefault="00000000" w:rsidRPr="00000000" w14:paraId="00000005">
      <w:pPr>
        <w:numPr>
          <w:ilvl w:val="0"/>
          <w:numId w:val="3"/>
        </w:numPr>
        <w:spacing w:after="0" w:afterAutospacing="0" w:before="0" w:beforeAutospacing="0" w:lineRule="auto"/>
        <w:ind w:left="720" w:hanging="360"/>
      </w:pPr>
      <w:r w:rsidDel="00000000" w:rsidR="00000000" w:rsidRPr="00000000">
        <w:rPr>
          <w:rtl w:val="0"/>
        </w:rPr>
        <w:t xml:space="preserve">13 — Confidentiality And Security</w:t>
      </w:r>
    </w:p>
    <w:p w:rsidR="00000000" w:rsidDel="00000000" w:rsidP="00000000" w:rsidRDefault="00000000" w:rsidRPr="00000000" w14:paraId="00000006">
      <w:pPr>
        <w:numPr>
          <w:ilvl w:val="0"/>
          <w:numId w:val="3"/>
        </w:numPr>
        <w:spacing w:after="0" w:afterAutospacing="0" w:before="0" w:beforeAutospacing="0" w:lineRule="auto"/>
        <w:ind w:left="720" w:hanging="360"/>
      </w:pPr>
      <w:r w:rsidDel="00000000" w:rsidR="00000000" w:rsidRPr="00000000">
        <w:rPr>
          <w:rtl w:val="0"/>
        </w:rPr>
        <w:t xml:space="preserve">16 — Intellectual Property Rights (Ipr) — Background And Results —Access Rights And Rights Of Use</w:t>
      </w:r>
    </w:p>
    <w:p w:rsidR="00000000" w:rsidDel="00000000" w:rsidP="00000000" w:rsidRDefault="00000000" w:rsidRPr="00000000" w14:paraId="00000007">
      <w:pPr>
        <w:numPr>
          <w:ilvl w:val="0"/>
          <w:numId w:val="3"/>
        </w:numPr>
        <w:spacing w:after="0" w:afterAutospacing="0" w:before="0" w:beforeAutospacing="0" w:lineRule="auto"/>
        <w:ind w:left="720" w:hanging="360"/>
      </w:pPr>
      <w:r w:rsidDel="00000000" w:rsidR="00000000" w:rsidRPr="00000000">
        <w:rPr>
          <w:rtl w:val="0"/>
        </w:rPr>
        <w:t xml:space="preserve">17 — Communication, Dissemination And Visibility</w:t>
      </w:r>
    </w:p>
    <w:p w:rsidR="00000000" w:rsidDel="00000000" w:rsidP="00000000" w:rsidRDefault="00000000" w:rsidRPr="00000000" w14:paraId="00000008">
      <w:pPr>
        <w:numPr>
          <w:ilvl w:val="0"/>
          <w:numId w:val="3"/>
        </w:numPr>
        <w:spacing w:after="0" w:afterAutospacing="0" w:before="0" w:beforeAutospacing="0" w:lineRule="auto"/>
        <w:ind w:left="720" w:hanging="360"/>
      </w:pPr>
      <w:r w:rsidDel="00000000" w:rsidR="00000000" w:rsidRPr="00000000">
        <w:rPr>
          <w:rtl w:val="0"/>
        </w:rPr>
        <w:t xml:space="preserve">25 — Checks, Reviews, Audits And Investigations — Extension Of Findings</w:t>
      </w:r>
    </w:p>
    <w:p w:rsidR="00000000" w:rsidDel="00000000" w:rsidP="00000000" w:rsidRDefault="00000000" w:rsidRPr="00000000" w14:paraId="00000009">
      <w:pPr>
        <w:numPr>
          <w:ilvl w:val="0"/>
          <w:numId w:val="3"/>
        </w:numPr>
        <w:spacing w:after="0" w:afterAutospacing="0" w:before="0" w:beforeAutospacing="0" w:lineRule="auto"/>
        <w:ind w:left="720" w:hanging="360"/>
      </w:pPr>
      <w:r w:rsidDel="00000000" w:rsidR="00000000" w:rsidRPr="00000000">
        <w:rPr>
          <w:rtl w:val="0"/>
        </w:rPr>
        <w:t xml:space="preserve">26 — Impact Evaluations</w:t>
      </w:r>
    </w:p>
    <w:p w:rsidR="00000000" w:rsidDel="00000000" w:rsidP="00000000" w:rsidRDefault="00000000" w:rsidRPr="00000000" w14:paraId="0000000A">
      <w:pPr>
        <w:numPr>
          <w:ilvl w:val="0"/>
          <w:numId w:val="3"/>
        </w:numPr>
        <w:spacing w:after="240" w:before="0" w:beforeAutospacing="0" w:lineRule="auto"/>
        <w:ind w:left="720" w:hanging="360"/>
      </w:pPr>
      <w:r w:rsidDel="00000000" w:rsidR="00000000" w:rsidRPr="00000000">
        <w:rPr>
          <w:rtl w:val="0"/>
        </w:rPr>
        <w:t xml:space="preserve">33 — Damages</w:t>
      </w:r>
    </w:p>
    <w:p w:rsidR="00000000" w:rsidDel="00000000" w:rsidP="00000000" w:rsidRDefault="00000000" w:rsidRPr="00000000" w14:paraId="0000000B">
      <w:pPr>
        <w:spacing w:after="240" w:before="240" w:lineRule="auto"/>
        <w:rPr/>
      </w:pPr>
      <w:r w:rsidDel="00000000" w:rsidR="00000000" w:rsidRPr="00000000">
        <w:rPr>
          <w:rtl w:val="0"/>
        </w:rPr>
        <w:t xml:space="preserve">of the Grant Agreement. These sections are part of the Agreement. In case of contradiction between these sections and the Agreement, the terms of the Agreement will prevail.</w:t>
      </w:r>
    </w:p>
    <w:p w:rsidR="00000000" w:rsidDel="00000000" w:rsidP="00000000" w:rsidRDefault="00000000" w:rsidRPr="00000000" w14:paraId="0000000C">
      <w:pPr>
        <w:spacing w:after="240" w:before="240" w:lineRule="auto"/>
        <w:rPr>
          <w:b w:val="1"/>
        </w:rPr>
      </w:pPr>
      <w:r w:rsidDel="00000000" w:rsidR="00000000" w:rsidRPr="00000000">
        <w:rPr>
          <w:b w:val="1"/>
          <w:rtl w:val="0"/>
        </w:rPr>
        <w:t xml:space="preserve">ARTICLE 12 — CONFLICT OF INTERESTS</w:t>
      </w:r>
    </w:p>
    <w:p w:rsidR="00000000" w:rsidDel="00000000" w:rsidP="00000000" w:rsidRDefault="00000000" w:rsidRPr="00000000" w14:paraId="0000000D">
      <w:pPr>
        <w:spacing w:after="240" w:before="240" w:lineRule="auto"/>
        <w:rPr>
          <w:b w:val="1"/>
        </w:rPr>
      </w:pPr>
      <w:r w:rsidDel="00000000" w:rsidR="00000000" w:rsidRPr="00000000">
        <w:rPr>
          <w:b w:val="1"/>
          <w:rtl w:val="0"/>
        </w:rPr>
        <w:t xml:space="preserve">12.1 Conflict of interests</w:t>
      </w:r>
    </w:p>
    <w:p w:rsidR="00000000" w:rsidDel="00000000" w:rsidP="00000000" w:rsidRDefault="00000000" w:rsidRPr="00000000" w14:paraId="0000000E">
      <w:pPr>
        <w:spacing w:after="240" w:before="240" w:lineRule="auto"/>
        <w:rPr/>
      </w:pPr>
      <w:r w:rsidDel="00000000" w:rsidR="00000000" w:rsidRPr="00000000">
        <w:rPr>
          <w:rtl w:val="0"/>
        </w:rPr>
        <w:t xml:space="preserve">The beneficiaries must take all measures to prevent any situation where the impartial and objective implementation of the Agreement could be compromised for reasons involving family, emotional life, political or national affinity, economic interest or any other direct or indirect interest (‘conflict of interests’).</w:t>
      </w:r>
    </w:p>
    <w:p w:rsidR="00000000" w:rsidDel="00000000" w:rsidP="00000000" w:rsidRDefault="00000000" w:rsidRPr="00000000" w14:paraId="0000000F">
      <w:pPr>
        <w:spacing w:after="240" w:before="240" w:lineRule="auto"/>
        <w:rPr/>
      </w:pPr>
      <w:r w:rsidDel="00000000" w:rsidR="00000000" w:rsidRPr="00000000">
        <w:rPr>
          <w:rtl w:val="0"/>
        </w:rPr>
        <w:t xml:space="preserve">They must formally notify the granting authority without delay of any situation constituting or likely to lead to a conflict of interests and immediately take all the necessary steps to rectify this situation.</w:t>
      </w:r>
    </w:p>
    <w:p w:rsidR="00000000" w:rsidDel="00000000" w:rsidP="00000000" w:rsidRDefault="00000000" w:rsidRPr="00000000" w14:paraId="00000010">
      <w:pPr>
        <w:spacing w:after="240" w:before="240" w:lineRule="auto"/>
        <w:rPr/>
      </w:pPr>
      <w:r w:rsidDel="00000000" w:rsidR="00000000" w:rsidRPr="00000000">
        <w:rPr>
          <w:rtl w:val="0"/>
        </w:rPr>
        <w:t xml:space="preserve">The granting authority may verify that the measures taken are appropriate and may require additional measures to be taken by a specified deadline.</w:t>
      </w:r>
    </w:p>
    <w:p w:rsidR="00000000" w:rsidDel="00000000" w:rsidP="00000000" w:rsidRDefault="00000000" w:rsidRPr="00000000" w14:paraId="00000011">
      <w:pPr>
        <w:spacing w:after="240" w:before="240" w:lineRule="auto"/>
        <w:rPr>
          <w:b w:val="1"/>
        </w:rPr>
      </w:pPr>
      <w:r w:rsidDel="00000000" w:rsidR="00000000" w:rsidRPr="00000000">
        <w:rPr>
          <w:b w:val="1"/>
          <w:rtl w:val="0"/>
        </w:rPr>
        <w:t xml:space="preserve">12.2 Consequences of non-compliance</w:t>
      </w:r>
    </w:p>
    <w:p w:rsidR="00000000" w:rsidDel="00000000" w:rsidP="00000000" w:rsidRDefault="00000000" w:rsidRPr="00000000" w14:paraId="00000012">
      <w:pPr>
        <w:spacing w:after="240" w:before="240" w:lineRule="auto"/>
        <w:rPr/>
      </w:pPr>
      <w:r w:rsidDel="00000000" w:rsidR="00000000" w:rsidRPr="00000000">
        <w:rPr>
          <w:rtl w:val="0"/>
        </w:rPr>
        <w:t xml:space="preserve">If a beneficiary breaches any of its obligations under this Article, the grant may be reduced (see Article 28) and the grant or the beneficiary may be terminated (see Article 32).</w:t>
      </w:r>
    </w:p>
    <w:p w:rsidR="00000000" w:rsidDel="00000000" w:rsidP="00000000" w:rsidRDefault="00000000" w:rsidRPr="00000000" w14:paraId="00000013">
      <w:pPr>
        <w:spacing w:after="240" w:before="240" w:lineRule="auto"/>
        <w:rPr/>
      </w:pPr>
      <w:r w:rsidDel="00000000" w:rsidR="00000000" w:rsidRPr="00000000">
        <w:rPr>
          <w:rtl w:val="0"/>
        </w:rPr>
        <w:t xml:space="preserve">Such breaches may also lead to other measures described in Chapter 5.</w:t>
      </w:r>
    </w:p>
    <w:p w:rsidR="00000000" w:rsidDel="00000000" w:rsidP="00000000" w:rsidRDefault="00000000" w:rsidRPr="00000000" w14:paraId="00000014">
      <w:pPr>
        <w:spacing w:after="240" w:before="240" w:lineRule="auto"/>
        <w:rPr>
          <w:b w:val="1"/>
        </w:rPr>
      </w:pPr>
      <w:r w:rsidDel="00000000" w:rsidR="00000000" w:rsidRPr="00000000">
        <w:rPr>
          <w:b w:val="1"/>
          <w:rtl w:val="0"/>
        </w:rPr>
        <w:t xml:space="preserve">ARTICLE 13 — CONFIDENTIALITY AND SECURITY</w:t>
      </w:r>
    </w:p>
    <w:p w:rsidR="00000000" w:rsidDel="00000000" w:rsidP="00000000" w:rsidRDefault="00000000" w:rsidRPr="00000000" w14:paraId="00000015">
      <w:pPr>
        <w:spacing w:after="240" w:before="240" w:lineRule="auto"/>
        <w:rPr>
          <w:b w:val="1"/>
        </w:rPr>
      </w:pPr>
      <w:r w:rsidDel="00000000" w:rsidR="00000000" w:rsidRPr="00000000">
        <w:rPr>
          <w:b w:val="1"/>
          <w:rtl w:val="0"/>
        </w:rPr>
        <w:t xml:space="preserve">13.1 Sensitive information</w:t>
      </w:r>
    </w:p>
    <w:p w:rsidR="00000000" w:rsidDel="00000000" w:rsidP="00000000" w:rsidRDefault="00000000" w:rsidRPr="00000000" w14:paraId="00000016">
      <w:pPr>
        <w:spacing w:after="240" w:before="240" w:lineRule="auto"/>
        <w:rPr/>
      </w:pPr>
      <w:r w:rsidDel="00000000" w:rsidR="00000000" w:rsidRPr="00000000">
        <w:rPr>
          <w:rtl w:val="0"/>
        </w:rPr>
        <w:t xml:space="preserve">The parties must keep confidential any data, documents or other material (in any form) that is identified as sensitive in writing (‘sensitive information’) — during the implementation of the action and for at least until the time-limit set out in the Data Sheet (see Point 6).</w:t>
      </w:r>
    </w:p>
    <w:p w:rsidR="00000000" w:rsidDel="00000000" w:rsidP="00000000" w:rsidRDefault="00000000" w:rsidRPr="00000000" w14:paraId="00000017">
      <w:pPr>
        <w:spacing w:after="240" w:before="240" w:lineRule="auto"/>
        <w:rPr/>
      </w:pPr>
      <w:r w:rsidDel="00000000" w:rsidR="00000000" w:rsidRPr="00000000">
        <w:rPr>
          <w:rtl w:val="0"/>
        </w:rPr>
        <w:t xml:space="preserve">If a beneficiary requests, the granting authority may agree to keep such information confidential for a longer period.</w:t>
      </w:r>
    </w:p>
    <w:p w:rsidR="00000000" w:rsidDel="00000000" w:rsidP="00000000" w:rsidRDefault="00000000" w:rsidRPr="00000000" w14:paraId="00000018">
      <w:pPr>
        <w:spacing w:after="240" w:before="240" w:lineRule="auto"/>
        <w:rPr/>
      </w:pPr>
      <w:r w:rsidDel="00000000" w:rsidR="00000000" w:rsidRPr="00000000">
        <w:rPr>
          <w:rtl w:val="0"/>
        </w:rPr>
        <w:t xml:space="preserve">Unless otherwise agreed between the parties, they may use sensitive information only to implement the Agreement.</w:t>
      </w:r>
    </w:p>
    <w:p w:rsidR="00000000" w:rsidDel="00000000" w:rsidP="00000000" w:rsidRDefault="00000000" w:rsidRPr="00000000" w14:paraId="00000019">
      <w:pPr>
        <w:spacing w:after="240" w:before="240" w:lineRule="auto"/>
        <w:rPr/>
      </w:pPr>
      <w:r w:rsidDel="00000000" w:rsidR="00000000" w:rsidRPr="00000000">
        <w:rPr>
          <w:rtl w:val="0"/>
        </w:rPr>
        <w:t xml:space="preserve">The beneficiaries may disclose sensitive information to their personnel or other participants involved in the action only if they:</w:t>
      </w:r>
    </w:p>
    <w:p w:rsidR="00000000" w:rsidDel="00000000" w:rsidP="00000000" w:rsidRDefault="00000000" w:rsidRPr="00000000" w14:paraId="0000001A">
      <w:pPr>
        <w:numPr>
          <w:ilvl w:val="0"/>
          <w:numId w:val="8"/>
        </w:numPr>
        <w:spacing w:after="0" w:afterAutospacing="0" w:before="240" w:lineRule="auto"/>
        <w:ind w:left="720" w:hanging="360"/>
      </w:pPr>
      <w:r w:rsidDel="00000000" w:rsidR="00000000" w:rsidRPr="00000000">
        <w:rPr>
          <w:rtl w:val="0"/>
        </w:rPr>
        <w:t xml:space="preserve">need to know it in order to implement the Agreement and</w:t>
      </w:r>
    </w:p>
    <w:p w:rsidR="00000000" w:rsidDel="00000000" w:rsidP="00000000" w:rsidRDefault="00000000" w:rsidRPr="00000000" w14:paraId="0000001B">
      <w:pPr>
        <w:numPr>
          <w:ilvl w:val="0"/>
          <w:numId w:val="8"/>
        </w:numPr>
        <w:spacing w:after="240" w:before="0" w:beforeAutospacing="0" w:lineRule="auto"/>
        <w:ind w:left="720" w:hanging="360"/>
      </w:pPr>
      <w:r w:rsidDel="00000000" w:rsidR="00000000" w:rsidRPr="00000000">
        <w:rPr>
          <w:rtl w:val="0"/>
        </w:rPr>
        <w:t xml:space="preserve">are bound by an obligation of confidentiality.</w:t>
      </w:r>
    </w:p>
    <w:p w:rsidR="00000000" w:rsidDel="00000000" w:rsidP="00000000" w:rsidRDefault="00000000" w:rsidRPr="00000000" w14:paraId="0000001C">
      <w:pPr>
        <w:spacing w:after="0" w:before="240" w:line="276" w:lineRule="auto"/>
        <w:rPr/>
      </w:pPr>
      <w:r w:rsidDel="00000000" w:rsidR="00000000" w:rsidRPr="00000000">
        <w:rPr>
          <w:rtl w:val="0"/>
        </w:rPr>
        <w:t xml:space="preserve">The granting authority may disclose sensitive information to its staff and to other EU institutions and bodies.</w:t>
      </w:r>
    </w:p>
    <w:p w:rsidR="00000000" w:rsidDel="00000000" w:rsidP="00000000" w:rsidRDefault="00000000" w:rsidRPr="00000000" w14:paraId="0000001D">
      <w:pPr>
        <w:spacing w:after="240" w:before="240" w:lineRule="auto"/>
        <w:rPr/>
      </w:pPr>
      <w:r w:rsidDel="00000000" w:rsidR="00000000" w:rsidRPr="00000000">
        <w:rPr>
          <w:rtl w:val="0"/>
        </w:rPr>
        <w:t xml:space="preserve">It may moreover disclose sensitive information to third parties, if:</w:t>
      </w:r>
    </w:p>
    <w:p w:rsidR="00000000" w:rsidDel="00000000" w:rsidP="00000000" w:rsidRDefault="00000000" w:rsidRPr="00000000" w14:paraId="0000001E">
      <w:pPr>
        <w:numPr>
          <w:ilvl w:val="0"/>
          <w:numId w:val="1"/>
        </w:numPr>
        <w:spacing w:after="0" w:afterAutospacing="0" w:before="240" w:lineRule="auto"/>
        <w:ind w:left="720" w:hanging="360"/>
      </w:pPr>
      <w:r w:rsidDel="00000000" w:rsidR="00000000" w:rsidRPr="00000000">
        <w:rPr>
          <w:rtl w:val="0"/>
        </w:rPr>
        <w:t xml:space="preserve">this is necessary to implement the Agreement or safeguard the EU financial interests and</w:t>
      </w:r>
    </w:p>
    <w:p w:rsidR="00000000" w:rsidDel="00000000" w:rsidP="00000000" w:rsidRDefault="00000000" w:rsidRPr="00000000" w14:paraId="0000001F">
      <w:pPr>
        <w:numPr>
          <w:ilvl w:val="0"/>
          <w:numId w:val="1"/>
        </w:numPr>
        <w:spacing w:after="240" w:before="0" w:beforeAutospacing="0" w:lineRule="auto"/>
        <w:ind w:left="720" w:hanging="360"/>
      </w:pPr>
      <w:r w:rsidDel="00000000" w:rsidR="00000000" w:rsidRPr="00000000">
        <w:rPr>
          <w:rtl w:val="0"/>
        </w:rPr>
        <w:t xml:space="preserve">the recipients of the information are bound by an obligation of confidentiality.</w:t>
      </w:r>
    </w:p>
    <w:p w:rsidR="00000000" w:rsidDel="00000000" w:rsidP="00000000" w:rsidRDefault="00000000" w:rsidRPr="00000000" w14:paraId="00000020">
      <w:pPr>
        <w:spacing w:after="240" w:before="240" w:lineRule="auto"/>
        <w:rPr/>
      </w:pPr>
      <w:r w:rsidDel="00000000" w:rsidR="00000000" w:rsidRPr="00000000">
        <w:rPr>
          <w:rtl w:val="0"/>
        </w:rPr>
        <w:t xml:space="preserve">The confidentiality obligations no longer apply if:</w:t>
      </w:r>
    </w:p>
    <w:p w:rsidR="00000000" w:rsidDel="00000000" w:rsidP="00000000" w:rsidRDefault="00000000" w:rsidRPr="00000000" w14:paraId="00000021">
      <w:pPr>
        <w:numPr>
          <w:ilvl w:val="0"/>
          <w:numId w:val="7"/>
        </w:numPr>
        <w:spacing w:after="0" w:afterAutospacing="0" w:before="240" w:lineRule="auto"/>
        <w:ind w:left="720" w:hanging="360"/>
      </w:pPr>
      <w:r w:rsidDel="00000000" w:rsidR="00000000" w:rsidRPr="00000000">
        <w:rPr>
          <w:rtl w:val="0"/>
        </w:rPr>
        <w:t xml:space="preserve">the disclosing party agrees to release the other party</w:t>
      </w:r>
    </w:p>
    <w:p w:rsidR="00000000" w:rsidDel="00000000" w:rsidP="00000000" w:rsidRDefault="00000000" w:rsidRPr="00000000" w14:paraId="00000022">
      <w:pPr>
        <w:numPr>
          <w:ilvl w:val="0"/>
          <w:numId w:val="7"/>
        </w:numPr>
        <w:spacing w:after="0" w:afterAutospacing="0" w:before="0" w:beforeAutospacing="0" w:lineRule="auto"/>
        <w:ind w:left="720" w:hanging="360"/>
      </w:pPr>
      <w:r w:rsidDel="00000000" w:rsidR="00000000" w:rsidRPr="00000000">
        <w:rPr>
          <w:rtl w:val="0"/>
        </w:rPr>
        <w:t xml:space="preserve">the information becomes publicly available, without breaching any confidentiality obligation</w:t>
      </w:r>
    </w:p>
    <w:p w:rsidR="00000000" w:rsidDel="00000000" w:rsidP="00000000" w:rsidRDefault="00000000" w:rsidRPr="00000000" w14:paraId="00000023">
      <w:pPr>
        <w:numPr>
          <w:ilvl w:val="0"/>
          <w:numId w:val="7"/>
        </w:numPr>
        <w:spacing w:after="240" w:before="0" w:beforeAutospacing="0" w:lineRule="auto"/>
        <w:ind w:left="720" w:hanging="360"/>
      </w:pPr>
      <w:r w:rsidDel="00000000" w:rsidR="00000000" w:rsidRPr="00000000">
        <w:rPr>
          <w:rtl w:val="0"/>
        </w:rPr>
        <w:t xml:space="preserve">the disclosure of the sensitive information is required by EU, international or national law.</w:t>
      </w:r>
    </w:p>
    <w:p w:rsidR="00000000" w:rsidDel="00000000" w:rsidP="00000000" w:rsidRDefault="00000000" w:rsidRPr="00000000" w14:paraId="00000024">
      <w:pPr>
        <w:spacing w:after="240" w:before="240" w:lineRule="auto"/>
        <w:rPr/>
      </w:pPr>
      <w:r w:rsidDel="00000000" w:rsidR="00000000" w:rsidRPr="00000000">
        <w:rPr>
          <w:rtl w:val="0"/>
        </w:rPr>
        <w:t xml:space="preserve">Specific confidentiality rules (if any) are set out in Annex 5.</w:t>
      </w:r>
    </w:p>
    <w:p w:rsidR="00000000" w:rsidDel="00000000" w:rsidP="00000000" w:rsidRDefault="00000000" w:rsidRPr="00000000" w14:paraId="00000025">
      <w:pPr>
        <w:spacing w:after="240" w:before="240" w:lineRule="auto"/>
        <w:rPr>
          <w:b w:val="1"/>
        </w:rPr>
      </w:pPr>
      <w:r w:rsidDel="00000000" w:rsidR="00000000" w:rsidRPr="00000000">
        <w:rPr>
          <w:b w:val="1"/>
          <w:rtl w:val="0"/>
        </w:rPr>
        <w:t xml:space="preserve">13.2 Classified information</w:t>
      </w:r>
    </w:p>
    <w:p w:rsidR="00000000" w:rsidDel="00000000" w:rsidP="00000000" w:rsidRDefault="00000000" w:rsidRPr="00000000" w14:paraId="00000026">
      <w:pPr>
        <w:spacing w:after="240" w:before="240" w:lineRule="auto"/>
        <w:rPr/>
      </w:pPr>
      <w:r w:rsidDel="00000000" w:rsidR="00000000" w:rsidRPr="00000000">
        <w:rPr>
          <w:rtl w:val="0"/>
        </w:rPr>
        <w:t xml:space="preserve">The parties must handle classified information in accordance with the applicable EU, international or national law on classified information (in particular, Decision 2015/444</w:t>
      </w:r>
      <w:r w:rsidDel="00000000" w:rsidR="00000000" w:rsidRPr="00000000">
        <w:rPr>
          <w:rFonts w:ascii="Arial" w:cs="Arial" w:eastAsia="Arial" w:hAnsi="Arial"/>
          <w:sz w:val="24"/>
          <w:szCs w:val="24"/>
          <w:rtl w:val="0"/>
        </w:rPr>
        <w:t xml:space="preserve">[1]</w:t>
      </w:r>
      <w:r w:rsidDel="00000000" w:rsidR="00000000" w:rsidRPr="00000000">
        <w:rPr>
          <w:rtl w:val="0"/>
        </w:rPr>
        <w:t xml:space="preserve"> and its implementing rules).</w:t>
      </w:r>
    </w:p>
    <w:p w:rsidR="00000000" w:rsidDel="00000000" w:rsidP="00000000" w:rsidRDefault="00000000" w:rsidRPr="00000000" w14:paraId="00000027">
      <w:pPr>
        <w:spacing w:after="240" w:before="240" w:lineRule="auto"/>
        <w:rPr/>
      </w:pPr>
      <w:r w:rsidDel="00000000" w:rsidR="00000000" w:rsidRPr="00000000">
        <w:rPr>
          <w:rtl w:val="0"/>
        </w:rPr>
        <w:t xml:space="preserve">Deliverables which contain classified information must be submitted according to special procedures agreed with the granting authority.</w:t>
      </w:r>
    </w:p>
    <w:p w:rsidR="00000000" w:rsidDel="00000000" w:rsidP="00000000" w:rsidRDefault="00000000" w:rsidRPr="00000000" w14:paraId="00000028">
      <w:pPr>
        <w:spacing w:after="240" w:before="240" w:lineRule="auto"/>
        <w:rPr/>
      </w:pPr>
      <w:r w:rsidDel="00000000" w:rsidR="00000000" w:rsidRPr="00000000">
        <w:rPr>
          <w:rtl w:val="0"/>
        </w:rPr>
        <w:t xml:space="preserve">Action tasks involving classified information may be subcontracted only after explicit approval (in writing) from the granting authority.</w:t>
      </w:r>
    </w:p>
    <w:p w:rsidR="00000000" w:rsidDel="00000000" w:rsidP="00000000" w:rsidRDefault="00000000" w:rsidRPr="00000000" w14:paraId="00000029">
      <w:pPr>
        <w:spacing w:after="240" w:before="240" w:lineRule="auto"/>
        <w:rPr/>
      </w:pPr>
      <w:r w:rsidDel="00000000" w:rsidR="00000000" w:rsidRPr="00000000">
        <w:rPr>
          <w:rtl w:val="0"/>
        </w:rPr>
        <w:t xml:space="preserve">Classified information may not be disclosed to any third party (including participants involved in the action implementation) without prior explicit written approval from the granting authority.</w:t>
      </w:r>
    </w:p>
    <w:p w:rsidR="00000000" w:rsidDel="00000000" w:rsidP="00000000" w:rsidRDefault="00000000" w:rsidRPr="00000000" w14:paraId="0000002A">
      <w:pPr>
        <w:spacing w:after="240" w:before="240" w:lineRule="auto"/>
        <w:rPr/>
      </w:pPr>
      <w:r w:rsidDel="00000000" w:rsidR="00000000" w:rsidRPr="00000000">
        <w:rPr>
          <w:rtl w:val="0"/>
        </w:rPr>
        <w:t xml:space="preserve">Specific security rules (if any) are set out in Annex 5.</w:t>
      </w:r>
    </w:p>
    <w:p w:rsidR="00000000" w:rsidDel="00000000" w:rsidP="00000000" w:rsidRDefault="00000000" w:rsidRPr="00000000" w14:paraId="0000002B">
      <w:pPr>
        <w:spacing w:after="240" w:before="240" w:lineRule="auto"/>
        <w:rPr>
          <w:b w:val="1"/>
        </w:rPr>
      </w:pPr>
      <w:r w:rsidDel="00000000" w:rsidR="00000000" w:rsidRPr="00000000">
        <w:rPr>
          <w:b w:val="1"/>
          <w:rtl w:val="0"/>
        </w:rPr>
        <w:t xml:space="preserve">13.3 Consequences of non-compliance</w:t>
      </w:r>
    </w:p>
    <w:p w:rsidR="00000000" w:rsidDel="00000000" w:rsidP="00000000" w:rsidRDefault="00000000" w:rsidRPr="00000000" w14:paraId="0000002C">
      <w:pPr>
        <w:spacing w:after="240" w:before="240" w:lineRule="auto"/>
        <w:rPr/>
      </w:pPr>
      <w:r w:rsidDel="00000000" w:rsidR="00000000" w:rsidRPr="00000000">
        <w:rPr>
          <w:rtl w:val="0"/>
        </w:rPr>
        <w:t xml:space="preserve">If a beneficiary breaches any of its obligations under this Article, the grant may be reduced (see Article 28).</w:t>
      </w:r>
    </w:p>
    <w:p w:rsidR="00000000" w:rsidDel="00000000" w:rsidP="00000000" w:rsidRDefault="00000000" w:rsidRPr="00000000" w14:paraId="0000002D">
      <w:pPr>
        <w:spacing w:after="240" w:before="240" w:lineRule="auto"/>
        <w:rPr/>
      </w:pPr>
      <w:r w:rsidDel="00000000" w:rsidR="00000000" w:rsidRPr="00000000">
        <w:rPr>
          <w:rtl w:val="0"/>
        </w:rPr>
        <w:t xml:space="preserve">Such breaches may also lead to other measures described in Chapter 5.</w:t>
      </w:r>
    </w:p>
    <w:p w:rsidR="00000000" w:rsidDel="00000000" w:rsidP="00000000" w:rsidRDefault="00000000" w:rsidRPr="00000000" w14:paraId="0000002E">
      <w:pPr>
        <w:spacing w:after="240" w:before="240" w:lineRule="auto"/>
        <w:rPr>
          <w:b w:val="1"/>
        </w:rPr>
      </w:pPr>
      <w:r w:rsidDel="00000000" w:rsidR="00000000" w:rsidRPr="00000000">
        <w:rPr>
          <w:b w:val="1"/>
          <w:rtl w:val="0"/>
        </w:rPr>
        <w:t xml:space="preserve">ARTICLE 16 — INTELLECTUAL PROPERTY RIGHTS (IPR) — BACKGROUND AND RESULTS —ACCESS RIGHTS AND RIGHTS OF USE</w:t>
      </w:r>
    </w:p>
    <w:p w:rsidR="00000000" w:rsidDel="00000000" w:rsidP="00000000" w:rsidRDefault="00000000" w:rsidRPr="00000000" w14:paraId="0000002F">
      <w:pPr>
        <w:spacing w:after="240" w:before="240" w:lineRule="auto"/>
        <w:rPr>
          <w:b w:val="1"/>
        </w:rPr>
      </w:pPr>
      <w:r w:rsidDel="00000000" w:rsidR="00000000" w:rsidRPr="00000000">
        <w:rPr>
          <w:b w:val="1"/>
          <w:rtl w:val="0"/>
        </w:rPr>
        <w:t xml:space="preserve">16.1 Background and access rights to background</w:t>
      </w:r>
    </w:p>
    <w:p w:rsidR="00000000" w:rsidDel="00000000" w:rsidP="00000000" w:rsidRDefault="00000000" w:rsidRPr="00000000" w14:paraId="00000030">
      <w:pPr>
        <w:spacing w:after="240" w:before="240" w:lineRule="auto"/>
        <w:rPr/>
      </w:pPr>
      <w:r w:rsidDel="00000000" w:rsidR="00000000" w:rsidRPr="00000000">
        <w:rPr>
          <w:rtl w:val="0"/>
        </w:rPr>
        <w:t xml:space="preserve">The beneficiaries must give each other and the other participants access to the background identified as needed for implementing the action, subject to any specific rules in Annex 5.</w:t>
      </w:r>
    </w:p>
    <w:p w:rsidR="00000000" w:rsidDel="00000000" w:rsidP="00000000" w:rsidRDefault="00000000" w:rsidRPr="00000000" w14:paraId="00000031">
      <w:pPr>
        <w:spacing w:after="240" w:before="240" w:lineRule="auto"/>
        <w:rPr/>
      </w:pPr>
      <w:r w:rsidDel="00000000" w:rsidR="00000000" w:rsidRPr="00000000">
        <w:rPr>
          <w:rtl w:val="0"/>
        </w:rPr>
        <w:t xml:space="preserve">‘Background’ means any data, know-how or information — whatever its form or nature (tangible or intangible), including any rights such as intellectual property rights — that is:</w:t>
      </w:r>
    </w:p>
    <w:p w:rsidR="00000000" w:rsidDel="00000000" w:rsidP="00000000" w:rsidRDefault="00000000" w:rsidRPr="00000000" w14:paraId="00000032">
      <w:pPr>
        <w:numPr>
          <w:ilvl w:val="0"/>
          <w:numId w:val="9"/>
        </w:numPr>
        <w:spacing w:after="0" w:afterAutospacing="0" w:before="240" w:lineRule="auto"/>
        <w:ind w:left="720" w:hanging="360"/>
      </w:pPr>
      <w:r w:rsidDel="00000000" w:rsidR="00000000" w:rsidRPr="00000000">
        <w:rPr>
          <w:rtl w:val="0"/>
        </w:rPr>
        <w:t xml:space="preserve">held by the beneficiaries before they acceded to the Agreement and</w:t>
      </w:r>
    </w:p>
    <w:p w:rsidR="00000000" w:rsidDel="00000000" w:rsidP="00000000" w:rsidRDefault="00000000" w:rsidRPr="00000000" w14:paraId="00000033">
      <w:pPr>
        <w:numPr>
          <w:ilvl w:val="0"/>
          <w:numId w:val="9"/>
        </w:numPr>
        <w:spacing w:after="240" w:before="0" w:beforeAutospacing="0" w:lineRule="auto"/>
        <w:ind w:left="720" w:hanging="360"/>
      </w:pPr>
      <w:r w:rsidDel="00000000" w:rsidR="00000000" w:rsidRPr="00000000">
        <w:rPr>
          <w:rtl w:val="0"/>
        </w:rPr>
        <w:t xml:space="preserve">needed to implement the action or exploit the results.</w:t>
      </w:r>
    </w:p>
    <w:p w:rsidR="00000000" w:rsidDel="00000000" w:rsidP="00000000" w:rsidRDefault="00000000" w:rsidRPr="00000000" w14:paraId="00000034">
      <w:pPr>
        <w:spacing w:after="240" w:before="240" w:lineRule="auto"/>
        <w:rPr/>
      </w:pPr>
      <w:r w:rsidDel="00000000" w:rsidR="00000000" w:rsidRPr="00000000">
        <w:rPr>
          <w:rtl w:val="0"/>
        </w:rPr>
        <w:t xml:space="preserve">If background is subject to rights of a third party, the beneficiary concerned must ensure that it is able to comply with its obligations under the Agreement</w:t>
      </w:r>
    </w:p>
    <w:p w:rsidR="00000000" w:rsidDel="00000000" w:rsidP="00000000" w:rsidRDefault="00000000" w:rsidRPr="00000000" w14:paraId="00000035">
      <w:pPr>
        <w:spacing w:after="240" w:before="240" w:lineRule="auto"/>
        <w:rPr>
          <w:b w:val="1"/>
        </w:rPr>
      </w:pPr>
      <w:r w:rsidDel="00000000" w:rsidR="00000000" w:rsidRPr="00000000">
        <w:rPr>
          <w:b w:val="1"/>
          <w:rtl w:val="0"/>
        </w:rPr>
        <w:t xml:space="preserve">16.2 Ownership of results</w:t>
      </w:r>
    </w:p>
    <w:p w:rsidR="00000000" w:rsidDel="00000000" w:rsidP="00000000" w:rsidRDefault="00000000" w:rsidRPr="00000000" w14:paraId="00000036">
      <w:pPr>
        <w:spacing w:after="240" w:before="240" w:lineRule="auto"/>
        <w:rPr/>
      </w:pPr>
      <w:r w:rsidDel="00000000" w:rsidR="00000000" w:rsidRPr="00000000">
        <w:rPr>
          <w:rtl w:val="0"/>
        </w:rPr>
        <w:t xml:space="preserve">The granting authority does not obtain ownership of the results produced under the action.</w:t>
      </w:r>
    </w:p>
    <w:p w:rsidR="00000000" w:rsidDel="00000000" w:rsidP="00000000" w:rsidRDefault="00000000" w:rsidRPr="00000000" w14:paraId="00000037">
      <w:pPr>
        <w:spacing w:after="240" w:before="240" w:lineRule="auto"/>
        <w:rPr/>
      </w:pPr>
      <w:r w:rsidDel="00000000" w:rsidR="00000000" w:rsidRPr="00000000">
        <w:rPr>
          <w:rtl w:val="0"/>
        </w:rPr>
        <w:t xml:space="preserve">‘Results’ means any tangible or intangible effect of the action, such as data, know-how or information, whatever its form or nature, whether or not it can be protected, as well as any rights attached to it, including intellectual property rights.</w:t>
      </w:r>
    </w:p>
    <w:p w:rsidR="00000000" w:rsidDel="00000000" w:rsidP="00000000" w:rsidRDefault="00000000" w:rsidRPr="00000000" w14:paraId="00000038">
      <w:pPr>
        <w:spacing w:after="240" w:before="240" w:lineRule="auto"/>
        <w:rPr>
          <w:b w:val="1"/>
        </w:rPr>
      </w:pPr>
      <w:r w:rsidDel="00000000" w:rsidR="00000000" w:rsidRPr="00000000">
        <w:rPr>
          <w:b w:val="1"/>
          <w:rtl w:val="0"/>
        </w:rPr>
        <w:t xml:space="preserve">16.3 Rights of use of the granting authority on materials, documents and information received for policy, information, communication, dissemination and publicity purposes</w:t>
      </w:r>
    </w:p>
    <w:p w:rsidR="00000000" w:rsidDel="00000000" w:rsidP="00000000" w:rsidRDefault="00000000" w:rsidRPr="00000000" w14:paraId="00000039">
      <w:pPr>
        <w:spacing w:after="240" w:before="240" w:lineRule="auto"/>
        <w:rPr/>
      </w:pPr>
      <w:r w:rsidDel="00000000" w:rsidR="00000000" w:rsidRPr="00000000">
        <w:rPr>
          <w:rtl w:val="0"/>
        </w:rPr>
        <w:t xml:space="preserve">The granting authority has the right to use non-sensitive information relating to the action and materials and documents received from the beneficiaries (notably summaries for publication, deliverables, as well as any other material, such as pictures or audio-visual material, in paper or electronic form) for policy, information, communication, dissemination and publicity purposes — during the action or afterwards.</w:t>
      </w:r>
    </w:p>
    <w:p w:rsidR="00000000" w:rsidDel="00000000" w:rsidP="00000000" w:rsidRDefault="00000000" w:rsidRPr="00000000" w14:paraId="0000003A">
      <w:pPr>
        <w:spacing w:after="240" w:before="240" w:lineRule="auto"/>
        <w:rPr/>
      </w:pPr>
      <w:r w:rsidDel="00000000" w:rsidR="00000000" w:rsidRPr="00000000">
        <w:rPr>
          <w:rtl w:val="0"/>
        </w:rPr>
        <w:t xml:space="preserve">The right to use the beneficiaries’ materials, documents and information is granted in the form of a royalty-free, non-exclusive and irrevocable licence, which includes the following rights:</w:t>
      </w:r>
    </w:p>
    <w:p w:rsidR="00000000" w:rsidDel="00000000" w:rsidP="00000000" w:rsidRDefault="00000000" w:rsidRPr="00000000" w14:paraId="0000003B">
      <w:pPr>
        <w:numPr>
          <w:ilvl w:val="0"/>
          <w:numId w:val="6"/>
        </w:numPr>
        <w:spacing w:after="0" w:afterAutospacing="0" w:before="240" w:lineRule="auto"/>
        <w:ind w:left="720" w:hanging="360"/>
      </w:pPr>
      <w:r w:rsidDel="00000000" w:rsidR="00000000" w:rsidRPr="00000000">
        <w:rPr>
          <w:b w:val="1"/>
          <w:rtl w:val="0"/>
        </w:rPr>
        <w:t xml:space="preserve">use for its own purposes </w:t>
      </w:r>
      <w:r w:rsidDel="00000000" w:rsidR="00000000" w:rsidRPr="00000000">
        <w:rPr>
          <w:rtl w:val="0"/>
        </w:rPr>
        <w:t xml:space="preserve">(in particular, making them available to persons working for the granting authority or any other EU service (including institutions, bodies, offices, agencies, etc.) or EU Member State institution or body; copying or reproducing them in whole or in part, in unlimited numbers; and communication through press information services)</w:t>
      </w:r>
    </w:p>
    <w:p w:rsidR="00000000" w:rsidDel="00000000" w:rsidP="00000000" w:rsidRDefault="00000000" w:rsidRPr="00000000" w14:paraId="0000003C">
      <w:pPr>
        <w:numPr>
          <w:ilvl w:val="0"/>
          <w:numId w:val="6"/>
        </w:numPr>
        <w:spacing w:after="0" w:afterAutospacing="0" w:before="0" w:beforeAutospacing="0" w:lineRule="auto"/>
        <w:ind w:left="720" w:hanging="360"/>
      </w:pPr>
      <w:r w:rsidDel="00000000" w:rsidR="00000000" w:rsidRPr="00000000">
        <w:rPr>
          <w:b w:val="1"/>
          <w:rtl w:val="0"/>
        </w:rPr>
        <w:t xml:space="preserve">distribution to the public </w:t>
      </w:r>
      <w:r w:rsidDel="00000000" w:rsidR="00000000" w:rsidRPr="00000000">
        <w:rPr>
          <w:rtl w:val="0"/>
        </w:rPr>
        <w:t xml:space="preserve">(in particular, publication as hard copies and in electronic or digital format, publication on the internet, as a downloadable or non-downloadable file, broadcasting by any channel, public display or presentation, communicating through press information services, or inclusion in widely accessible databases or indexes)</w:t>
      </w:r>
    </w:p>
    <w:p w:rsidR="00000000" w:rsidDel="00000000" w:rsidP="00000000" w:rsidRDefault="00000000" w:rsidRPr="00000000" w14:paraId="0000003D">
      <w:pPr>
        <w:numPr>
          <w:ilvl w:val="0"/>
          <w:numId w:val="6"/>
        </w:numPr>
        <w:spacing w:after="0" w:afterAutospacing="0" w:before="0" w:beforeAutospacing="0" w:lineRule="auto"/>
        <w:ind w:left="720" w:hanging="360"/>
      </w:pPr>
      <w:r w:rsidDel="00000000" w:rsidR="00000000" w:rsidRPr="00000000">
        <w:rPr>
          <w:b w:val="1"/>
          <w:rtl w:val="0"/>
        </w:rPr>
        <w:t xml:space="preserve">editing or redrafting </w:t>
      </w:r>
      <w:r w:rsidDel="00000000" w:rsidR="00000000" w:rsidRPr="00000000">
        <w:rPr>
          <w:rtl w:val="0"/>
        </w:rPr>
        <w:t xml:space="preserve">(including shortening, summarising, inserting other elements (e.g. meta-data, legends, other graphic, visual, audio or text elements), extracting parts (e.g. audio or video files), dividing into parts, use in a compilation)</w:t>
      </w:r>
    </w:p>
    <w:p w:rsidR="00000000" w:rsidDel="00000000" w:rsidP="00000000" w:rsidRDefault="00000000" w:rsidRPr="00000000" w14:paraId="0000003E">
      <w:pPr>
        <w:numPr>
          <w:ilvl w:val="0"/>
          <w:numId w:val="6"/>
        </w:numPr>
        <w:spacing w:after="0" w:afterAutospacing="0" w:before="0" w:beforeAutospacing="0" w:lineRule="auto"/>
        <w:ind w:left="720" w:hanging="360"/>
        <w:rPr>
          <w:b w:val="1"/>
        </w:rPr>
      </w:pPr>
      <w:r w:rsidDel="00000000" w:rsidR="00000000" w:rsidRPr="00000000">
        <w:rPr>
          <w:b w:val="1"/>
          <w:rtl w:val="0"/>
        </w:rPr>
        <w:t xml:space="preserve">translation</w:t>
      </w:r>
    </w:p>
    <w:p w:rsidR="00000000" w:rsidDel="00000000" w:rsidP="00000000" w:rsidRDefault="00000000" w:rsidRPr="00000000" w14:paraId="0000003F">
      <w:pPr>
        <w:numPr>
          <w:ilvl w:val="0"/>
          <w:numId w:val="6"/>
        </w:numPr>
        <w:spacing w:after="0" w:afterAutospacing="0" w:before="0" w:beforeAutospacing="0" w:lineRule="auto"/>
        <w:ind w:left="720" w:hanging="360"/>
      </w:pPr>
      <w:r w:rsidDel="00000000" w:rsidR="00000000" w:rsidRPr="00000000">
        <w:rPr>
          <w:b w:val="1"/>
          <w:rtl w:val="0"/>
        </w:rPr>
        <w:t xml:space="preserve">storage </w:t>
      </w:r>
      <w:r w:rsidDel="00000000" w:rsidR="00000000" w:rsidRPr="00000000">
        <w:rPr>
          <w:rtl w:val="0"/>
        </w:rPr>
        <w:t xml:space="preserve">in paper, electronic or other form</w:t>
      </w:r>
    </w:p>
    <w:p w:rsidR="00000000" w:rsidDel="00000000" w:rsidP="00000000" w:rsidRDefault="00000000" w:rsidRPr="00000000" w14:paraId="00000040">
      <w:pPr>
        <w:numPr>
          <w:ilvl w:val="0"/>
          <w:numId w:val="6"/>
        </w:numPr>
        <w:spacing w:after="0" w:afterAutospacing="0" w:before="0" w:beforeAutospacing="0" w:lineRule="auto"/>
        <w:ind w:left="720" w:hanging="360"/>
      </w:pPr>
      <w:r w:rsidDel="00000000" w:rsidR="00000000" w:rsidRPr="00000000">
        <w:rPr>
          <w:b w:val="1"/>
          <w:rtl w:val="0"/>
        </w:rPr>
        <w:t xml:space="preserve">archiving</w:t>
      </w:r>
      <w:r w:rsidDel="00000000" w:rsidR="00000000" w:rsidRPr="00000000">
        <w:rPr>
          <w:rtl w:val="0"/>
        </w:rPr>
        <w:t xml:space="preserve">, in line with applicable document-management rules</w:t>
      </w:r>
    </w:p>
    <w:p w:rsidR="00000000" w:rsidDel="00000000" w:rsidP="00000000" w:rsidRDefault="00000000" w:rsidRPr="00000000" w14:paraId="00000041">
      <w:pPr>
        <w:numPr>
          <w:ilvl w:val="0"/>
          <w:numId w:val="6"/>
        </w:numPr>
        <w:spacing w:after="0" w:afterAutospacing="0" w:before="0" w:beforeAutospacing="0" w:lineRule="auto"/>
        <w:ind w:left="720" w:hanging="360"/>
      </w:pPr>
      <w:r w:rsidDel="00000000" w:rsidR="00000000" w:rsidRPr="00000000">
        <w:rPr>
          <w:rtl w:val="0"/>
        </w:rPr>
        <w:t xml:space="preserve">the right to authorise </w:t>
      </w:r>
      <w:r w:rsidDel="00000000" w:rsidR="00000000" w:rsidRPr="00000000">
        <w:rPr>
          <w:b w:val="1"/>
          <w:rtl w:val="0"/>
        </w:rPr>
        <w:t xml:space="preserve">third parties </w:t>
      </w:r>
      <w:r w:rsidDel="00000000" w:rsidR="00000000" w:rsidRPr="00000000">
        <w:rPr>
          <w:rtl w:val="0"/>
        </w:rPr>
        <w:t xml:space="preserve">to act on its behalf or sub-license to third parties the modes of use set out in Points (b), (c), (d) and (f), if needed for the information, communication and publicity activity of the granting authority</w:t>
      </w:r>
    </w:p>
    <w:p w:rsidR="00000000" w:rsidDel="00000000" w:rsidP="00000000" w:rsidRDefault="00000000" w:rsidRPr="00000000" w14:paraId="00000042">
      <w:pPr>
        <w:numPr>
          <w:ilvl w:val="0"/>
          <w:numId w:val="6"/>
        </w:numPr>
        <w:spacing w:after="240" w:before="0" w:beforeAutospacing="0" w:lineRule="auto"/>
        <w:ind w:left="720" w:hanging="360"/>
      </w:pPr>
      <w:r w:rsidDel="00000000" w:rsidR="00000000" w:rsidRPr="00000000">
        <w:rPr>
          <w:b w:val="1"/>
          <w:rtl w:val="0"/>
        </w:rPr>
        <w:t xml:space="preserve">processing</w:t>
      </w:r>
      <w:r w:rsidDel="00000000" w:rsidR="00000000" w:rsidRPr="00000000">
        <w:rPr>
          <w:rtl w:val="0"/>
        </w:rPr>
        <w:t xml:space="preserve">, analysing, aggregating the materials, documents and information received and </w:t>
      </w:r>
      <w:r w:rsidDel="00000000" w:rsidR="00000000" w:rsidRPr="00000000">
        <w:rPr>
          <w:b w:val="1"/>
          <w:rtl w:val="0"/>
        </w:rPr>
        <w:t xml:space="preserve">producing derivative works</w:t>
      </w:r>
      <w:r w:rsidDel="00000000" w:rsidR="00000000" w:rsidRPr="00000000">
        <w:rPr>
          <w:rtl w:val="0"/>
        </w:rPr>
        <w:t xml:space="preserve">.</w:t>
      </w:r>
    </w:p>
    <w:p w:rsidR="00000000" w:rsidDel="00000000" w:rsidP="00000000" w:rsidRDefault="00000000" w:rsidRPr="00000000" w14:paraId="00000043">
      <w:pPr>
        <w:spacing w:after="240" w:before="240" w:lineRule="auto"/>
        <w:rPr>
          <w:b w:val="1"/>
        </w:rPr>
      </w:pPr>
      <w:r w:rsidDel="00000000" w:rsidR="00000000" w:rsidRPr="00000000">
        <w:rPr>
          <w:b w:val="1"/>
          <w:rtl w:val="0"/>
        </w:rPr>
        <w:t xml:space="preserve">ARTICLE 17 — COMMUNICATION, DISSEMINATION AND VISIBILITY</w:t>
      </w:r>
    </w:p>
    <w:p w:rsidR="00000000" w:rsidDel="00000000" w:rsidP="00000000" w:rsidRDefault="00000000" w:rsidRPr="00000000" w14:paraId="00000044">
      <w:pPr>
        <w:spacing w:after="240" w:before="240" w:lineRule="auto"/>
        <w:rPr>
          <w:b w:val="1"/>
        </w:rPr>
      </w:pPr>
      <w:r w:rsidDel="00000000" w:rsidR="00000000" w:rsidRPr="00000000">
        <w:rPr>
          <w:b w:val="1"/>
          <w:rtl w:val="0"/>
        </w:rPr>
        <w:t xml:space="preserve">17.1 Communication — Dissemination — Promoting the action</w:t>
      </w:r>
    </w:p>
    <w:p w:rsidR="00000000" w:rsidDel="00000000" w:rsidP="00000000" w:rsidRDefault="00000000" w:rsidRPr="00000000" w14:paraId="00000045">
      <w:pPr>
        <w:spacing w:after="240" w:before="240" w:lineRule="auto"/>
        <w:rPr/>
      </w:pPr>
      <w:r w:rsidDel="00000000" w:rsidR="00000000" w:rsidRPr="00000000">
        <w:rPr>
          <w:rtl w:val="0"/>
        </w:rPr>
        <w:t xml:space="preserve">Unless otherwise agreed with the granting authority, the beneficiaries must promote the action and its results by providing targeted information to multiple audiences (including the media and the public), in accordance with Annex 1 and in a strategic, coherent and effective manner.</w:t>
      </w:r>
    </w:p>
    <w:p w:rsidR="00000000" w:rsidDel="00000000" w:rsidP="00000000" w:rsidRDefault="00000000" w:rsidRPr="00000000" w14:paraId="00000046">
      <w:pPr>
        <w:spacing w:after="240" w:before="240" w:lineRule="auto"/>
        <w:rPr/>
      </w:pPr>
      <w:r w:rsidDel="00000000" w:rsidR="00000000" w:rsidRPr="00000000">
        <w:rPr>
          <w:rtl w:val="0"/>
        </w:rPr>
        <w:t xml:space="preserve">Before engaging in a communication or dissemination activity expected to have a major media impact, the beneficiaries must inform the granting authority.</w:t>
      </w:r>
    </w:p>
    <w:p w:rsidR="00000000" w:rsidDel="00000000" w:rsidP="00000000" w:rsidRDefault="00000000" w:rsidRPr="00000000" w14:paraId="00000047">
      <w:pPr>
        <w:spacing w:after="240" w:before="240" w:lineRule="auto"/>
        <w:rPr>
          <w:b w:val="1"/>
        </w:rPr>
      </w:pPr>
      <w:r w:rsidDel="00000000" w:rsidR="00000000" w:rsidRPr="00000000">
        <w:rPr>
          <w:b w:val="1"/>
          <w:rtl w:val="0"/>
        </w:rPr>
        <w:t xml:space="preserve">17.2 Visibility — European flag and funding statement</w:t>
      </w:r>
    </w:p>
    <w:p w:rsidR="00000000" w:rsidDel="00000000" w:rsidP="00000000" w:rsidRDefault="00000000" w:rsidRPr="00000000" w14:paraId="00000048">
      <w:pPr>
        <w:spacing w:after="240" w:before="240" w:lineRule="auto"/>
        <w:rPr/>
      </w:pPr>
      <w:r w:rsidDel="00000000" w:rsidR="00000000" w:rsidRPr="00000000">
        <w:rPr>
          <w:rtl w:val="0"/>
        </w:rPr>
        <w:t xml:space="preserve">Unless otherwise agreed with the granting authority, communication activities of the beneficiaries related to the action (including media relations, conferences, seminars, information material, such as brochures, leaflets, posters, presentations, etc., in electronic form, via traditional or social media, etc.), dissemination activities and any infrastructure, equipment, vehicles, supplies or major result funded by the grant must acknowledge EU support and display the European flag (emblem) and funding statement (translated into local languages, where appropriate):</w:t>
      </w:r>
    </w:p>
    <w:p w:rsidR="00000000" w:rsidDel="00000000" w:rsidP="00000000" w:rsidRDefault="00000000" w:rsidRPr="00000000" w14:paraId="00000049">
      <w:pPr>
        <w:spacing w:after="240" w:before="240" w:lineRule="auto"/>
        <w:rPr/>
      </w:pPr>
      <w:r w:rsidDel="00000000" w:rsidR="00000000" w:rsidRPr="00000000">
        <w:rPr/>
        <w:drawing>
          <wp:inline distB="114300" distT="114300" distL="114300" distR="114300">
            <wp:extent cx="2062163" cy="838169"/>
            <wp:effectExtent b="0" l="0" r="0" t="0"/>
            <wp:docPr id="1146486606"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062163" cy="838169"/>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spacing w:after="240" w:before="240" w:lineRule="auto"/>
        <w:rPr/>
      </w:pPr>
      <w:r w:rsidDel="00000000" w:rsidR="00000000" w:rsidRPr="00000000">
        <w:rPr/>
        <w:drawing>
          <wp:inline distB="114300" distT="114300" distL="114300" distR="114300">
            <wp:extent cx="2285155" cy="757238"/>
            <wp:effectExtent b="0" l="0" r="0" t="0"/>
            <wp:docPr id="1146486605"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2285155" cy="757238"/>
                    </a:xfrm>
                    <a:prstGeom prst="rect"/>
                    <a:ln/>
                  </pic:spPr>
                </pic:pic>
              </a:graphicData>
            </a:graphic>
          </wp:inline>
        </w:drawing>
      </w:r>
      <w:r w:rsidDel="00000000" w:rsidR="00000000" w:rsidRPr="00000000">
        <w:rPr>
          <w:rtl w:val="0"/>
        </w:rPr>
      </w:r>
    </w:p>
    <w:p w:rsidR="00000000" w:rsidDel="00000000" w:rsidP="00000000" w:rsidRDefault="00000000" w:rsidRPr="00000000" w14:paraId="0000004B">
      <w:pPr>
        <w:spacing w:after="240" w:before="240" w:lineRule="auto"/>
        <w:rPr/>
      </w:pPr>
      <w:r w:rsidDel="00000000" w:rsidR="00000000" w:rsidRPr="00000000">
        <w:rPr/>
        <w:drawing>
          <wp:inline distB="114300" distT="114300" distL="114300" distR="114300">
            <wp:extent cx="1282025" cy="1512887"/>
            <wp:effectExtent b="0" l="0" r="0" t="0"/>
            <wp:docPr id="1146486608"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1282025" cy="1512887"/>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553036" cy="1506538"/>
            <wp:effectExtent b="0" l="0" r="0" t="0"/>
            <wp:docPr id="1146486607"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553036" cy="1506538"/>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spacing w:after="240" w:before="240" w:lineRule="auto"/>
        <w:rPr/>
      </w:pPr>
      <w:r w:rsidDel="00000000" w:rsidR="00000000" w:rsidRPr="00000000">
        <w:rPr>
          <w:rtl w:val="0"/>
        </w:rPr>
        <w:t xml:space="preserve">The emblem must remain distinct and separate and cannot be modified by adding other visual marks, brands or text.</w:t>
      </w:r>
    </w:p>
    <w:p w:rsidR="00000000" w:rsidDel="00000000" w:rsidP="00000000" w:rsidRDefault="00000000" w:rsidRPr="00000000" w14:paraId="0000004D">
      <w:pPr>
        <w:spacing w:after="240" w:before="240" w:lineRule="auto"/>
        <w:rPr/>
      </w:pPr>
      <w:r w:rsidDel="00000000" w:rsidR="00000000" w:rsidRPr="00000000">
        <w:rPr>
          <w:rtl w:val="0"/>
        </w:rPr>
        <w:t xml:space="preserve">Apart from the emblem, no other visual identity or logo may be used to highlight the EU support.</w:t>
      </w:r>
    </w:p>
    <w:p w:rsidR="00000000" w:rsidDel="00000000" w:rsidP="00000000" w:rsidRDefault="00000000" w:rsidRPr="00000000" w14:paraId="0000004E">
      <w:pPr>
        <w:spacing w:after="240" w:before="240" w:lineRule="auto"/>
        <w:rPr/>
      </w:pPr>
      <w:r w:rsidDel="00000000" w:rsidR="00000000" w:rsidRPr="00000000">
        <w:rPr>
          <w:rtl w:val="0"/>
        </w:rPr>
        <w:t xml:space="preserve">When displayed in association with other logos (e.g. of beneficiaries or sponsors), the emblem must be displayed at least as prominently and visibly as the other logos.</w:t>
      </w:r>
    </w:p>
    <w:p w:rsidR="00000000" w:rsidDel="00000000" w:rsidP="00000000" w:rsidRDefault="00000000" w:rsidRPr="00000000" w14:paraId="0000004F">
      <w:pPr>
        <w:spacing w:after="240" w:before="240" w:lineRule="auto"/>
        <w:rPr/>
      </w:pPr>
      <w:r w:rsidDel="00000000" w:rsidR="00000000" w:rsidRPr="00000000">
        <w:rPr>
          <w:rtl w:val="0"/>
        </w:rPr>
        <w:t xml:space="preserve">For the purposes of their obligations under this Article, the beneficiaries may use the emblem without first obtaining approval from the granting authority. This does not, however, give them the right to exclusive use. Moreover, they may not appropriate the emblem or any similar trademark or logo, either by registration or by any other means.</w:t>
      </w:r>
    </w:p>
    <w:p w:rsidR="00000000" w:rsidDel="00000000" w:rsidP="00000000" w:rsidRDefault="00000000" w:rsidRPr="00000000" w14:paraId="00000050">
      <w:pPr>
        <w:spacing w:after="240" w:before="240" w:lineRule="auto"/>
        <w:rPr>
          <w:b w:val="1"/>
        </w:rPr>
      </w:pPr>
      <w:r w:rsidDel="00000000" w:rsidR="00000000" w:rsidRPr="00000000">
        <w:rPr>
          <w:b w:val="1"/>
          <w:rtl w:val="0"/>
        </w:rPr>
        <w:t xml:space="preserve">17.3 Quality of information — Disclaimer</w:t>
      </w:r>
    </w:p>
    <w:p w:rsidR="00000000" w:rsidDel="00000000" w:rsidP="00000000" w:rsidRDefault="00000000" w:rsidRPr="00000000" w14:paraId="00000051">
      <w:pPr>
        <w:spacing w:after="240" w:before="240" w:lineRule="auto"/>
        <w:rPr/>
      </w:pPr>
      <w:r w:rsidDel="00000000" w:rsidR="00000000" w:rsidRPr="00000000">
        <w:rPr>
          <w:rtl w:val="0"/>
        </w:rPr>
        <w:t xml:space="preserve">Any communication or dissemination activity related to the action must use factually accurate information.</w:t>
      </w:r>
    </w:p>
    <w:p w:rsidR="00000000" w:rsidDel="00000000" w:rsidP="00000000" w:rsidRDefault="00000000" w:rsidRPr="00000000" w14:paraId="00000052">
      <w:pPr>
        <w:spacing w:after="240" w:before="240" w:lineRule="auto"/>
        <w:rPr/>
      </w:pPr>
      <w:r w:rsidDel="00000000" w:rsidR="00000000" w:rsidRPr="00000000">
        <w:rPr>
          <w:rtl w:val="0"/>
        </w:rPr>
        <w:t xml:space="preserve">Moreover, it must indicate the following disclaimer (translated into local languages where appropriate):</w:t>
      </w:r>
    </w:p>
    <w:p w:rsidR="00000000" w:rsidDel="00000000" w:rsidP="00000000" w:rsidRDefault="00000000" w:rsidRPr="00000000" w14:paraId="00000053">
      <w:pPr>
        <w:spacing w:after="240" w:before="240" w:lineRule="auto"/>
        <w:rPr>
          <w:sz w:val="16"/>
          <w:szCs w:val="16"/>
        </w:rPr>
      </w:pPr>
      <w:r w:rsidDel="00000000" w:rsidR="00000000" w:rsidRPr="00000000">
        <w:rPr>
          <w:sz w:val="16"/>
          <w:szCs w:val="16"/>
          <w:rtl w:val="0"/>
        </w:rPr>
        <w:t xml:space="preserve">“Funded by the European Union. Views and opinions expressed are however those of the author(s) only and do not necessarily reflect those of the European Union or [name of the granting authority]. Neither the European Union nor the granting authority can be held responsible for them.”</w:t>
      </w:r>
    </w:p>
    <w:p w:rsidR="00000000" w:rsidDel="00000000" w:rsidP="00000000" w:rsidRDefault="00000000" w:rsidRPr="00000000" w14:paraId="00000054">
      <w:pPr>
        <w:spacing w:after="240" w:before="240" w:lineRule="auto"/>
        <w:rPr>
          <w:b w:val="1"/>
        </w:rPr>
      </w:pPr>
      <w:r w:rsidDel="00000000" w:rsidR="00000000" w:rsidRPr="00000000">
        <w:rPr>
          <w:b w:val="1"/>
          <w:rtl w:val="0"/>
        </w:rPr>
        <w:t xml:space="preserve">17.4 Specific communication, dissemination and visibility rules</w:t>
      </w:r>
    </w:p>
    <w:p w:rsidR="00000000" w:rsidDel="00000000" w:rsidP="00000000" w:rsidRDefault="00000000" w:rsidRPr="00000000" w14:paraId="00000055">
      <w:pPr>
        <w:spacing w:after="240" w:before="240" w:lineRule="auto"/>
        <w:rPr/>
      </w:pPr>
      <w:r w:rsidDel="00000000" w:rsidR="00000000" w:rsidRPr="00000000">
        <w:rPr>
          <w:rtl w:val="0"/>
        </w:rPr>
        <w:t xml:space="preserve">Specific communication, dissemination and visibility rules (if any) are set out in Annex 5.</w:t>
      </w:r>
    </w:p>
    <w:p w:rsidR="00000000" w:rsidDel="00000000" w:rsidP="00000000" w:rsidRDefault="00000000" w:rsidRPr="00000000" w14:paraId="00000056">
      <w:pPr>
        <w:spacing w:after="240" w:before="240" w:lineRule="auto"/>
        <w:rPr>
          <w:b w:val="1"/>
        </w:rPr>
      </w:pPr>
      <w:r w:rsidDel="00000000" w:rsidR="00000000" w:rsidRPr="00000000">
        <w:rPr>
          <w:b w:val="1"/>
          <w:rtl w:val="0"/>
        </w:rPr>
        <w:t xml:space="preserve">17.5 Consequences of non-compliance</w:t>
      </w:r>
    </w:p>
    <w:p w:rsidR="00000000" w:rsidDel="00000000" w:rsidP="00000000" w:rsidRDefault="00000000" w:rsidRPr="00000000" w14:paraId="00000057">
      <w:pPr>
        <w:spacing w:after="240" w:before="240" w:lineRule="auto"/>
        <w:rPr/>
      </w:pPr>
      <w:r w:rsidDel="00000000" w:rsidR="00000000" w:rsidRPr="00000000">
        <w:rPr>
          <w:rtl w:val="0"/>
        </w:rPr>
        <w:t xml:space="preserve">If a beneficiary breaches any of its obligations under this Article, the grant may be reduced (see Article 28).</w:t>
      </w:r>
    </w:p>
    <w:p w:rsidR="00000000" w:rsidDel="00000000" w:rsidP="00000000" w:rsidRDefault="00000000" w:rsidRPr="00000000" w14:paraId="00000058">
      <w:pPr>
        <w:spacing w:after="240" w:before="240" w:lineRule="auto"/>
        <w:rPr/>
      </w:pPr>
      <w:r w:rsidDel="00000000" w:rsidR="00000000" w:rsidRPr="00000000">
        <w:rPr>
          <w:rtl w:val="0"/>
        </w:rPr>
        <w:t xml:space="preserve">Such breaches may also lead to other measures described in Chapter 5.</w:t>
      </w:r>
    </w:p>
    <w:p w:rsidR="00000000" w:rsidDel="00000000" w:rsidP="00000000" w:rsidRDefault="00000000" w:rsidRPr="00000000" w14:paraId="00000059">
      <w:pPr>
        <w:spacing w:after="240" w:before="240" w:lineRule="auto"/>
        <w:rPr>
          <w:b w:val="1"/>
        </w:rPr>
      </w:pPr>
      <w:r w:rsidDel="00000000" w:rsidR="00000000" w:rsidRPr="00000000">
        <w:rPr>
          <w:b w:val="1"/>
          <w:rtl w:val="0"/>
        </w:rPr>
        <w:t xml:space="preserve">ARTICLE 25 — CHECKS, REVIEWS, AUDITS AND INVESTIGATIONS — EXTENSION OF FINDINGS</w:t>
      </w:r>
    </w:p>
    <w:p w:rsidR="00000000" w:rsidDel="00000000" w:rsidP="00000000" w:rsidRDefault="00000000" w:rsidRPr="00000000" w14:paraId="0000005A">
      <w:pPr>
        <w:spacing w:after="240" w:before="240" w:lineRule="auto"/>
        <w:rPr>
          <w:b w:val="1"/>
        </w:rPr>
      </w:pPr>
      <w:r w:rsidDel="00000000" w:rsidR="00000000" w:rsidRPr="00000000">
        <w:rPr>
          <w:b w:val="1"/>
          <w:rtl w:val="0"/>
        </w:rPr>
        <w:t xml:space="preserve">25.1 Granting authority checks, reviews and audits</w:t>
      </w:r>
    </w:p>
    <w:p w:rsidR="00000000" w:rsidDel="00000000" w:rsidP="00000000" w:rsidRDefault="00000000" w:rsidRPr="00000000" w14:paraId="0000005B">
      <w:pPr>
        <w:spacing w:after="240" w:before="240" w:lineRule="auto"/>
        <w:rPr>
          <w:b w:val="1"/>
        </w:rPr>
      </w:pPr>
      <w:r w:rsidDel="00000000" w:rsidR="00000000" w:rsidRPr="00000000">
        <w:rPr>
          <w:b w:val="1"/>
          <w:rtl w:val="0"/>
        </w:rPr>
        <w:t xml:space="preserve">25.1.1 Internal checks</w:t>
      </w:r>
    </w:p>
    <w:p w:rsidR="00000000" w:rsidDel="00000000" w:rsidP="00000000" w:rsidRDefault="00000000" w:rsidRPr="00000000" w14:paraId="0000005C">
      <w:pPr>
        <w:spacing w:after="240" w:before="240" w:lineRule="auto"/>
        <w:rPr/>
      </w:pPr>
      <w:r w:rsidDel="00000000" w:rsidR="00000000" w:rsidRPr="00000000">
        <w:rPr>
          <w:rtl w:val="0"/>
        </w:rPr>
        <w:t xml:space="preserve">The granting authority may — during the action or afterwards — check the proper implementation of the action and compliance with the obligations under the Agreement, including assessing costs and contributions, deliverables and reports.</w:t>
      </w:r>
    </w:p>
    <w:p w:rsidR="00000000" w:rsidDel="00000000" w:rsidP="00000000" w:rsidRDefault="00000000" w:rsidRPr="00000000" w14:paraId="0000005D">
      <w:pPr>
        <w:spacing w:after="240" w:before="240" w:lineRule="auto"/>
        <w:rPr>
          <w:b w:val="1"/>
        </w:rPr>
      </w:pPr>
      <w:r w:rsidDel="00000000" w:rsidR="00000000" w:rsidRPr="00000000">
        <w:rPr>
          <w:b w:val="1"/>
          <w:rtl w:val="0"/>
        </w:rPr>
        <w:t xml:space="preserve">25.1.2 Project reviews</w:t>
      </w:r>
    </w:p>
    <w:p w:rsidR="00000000" w:rsidDel="00000000" w:rsidP="00000000" w:rsidRDefault="00000000" w:rsidRPr="00000000" w14:paraId="0000005E">
      <w:pPr>
        <w:spacing w:after="240" w:before="240" w:lineRule="auto"/>
        <w:rPr/>
      </w:pPr>
      <w:r w:rsidDel="00000000" w:rsidR="00000000" w:rsidRPr="00000000">
        <w:rPr>
          <w:rtl w:val="0"/>
        </w:rPr>
        <w:t xml:space="preserve">The granting authority may carry out reviews on the proper implementation of the action and compliance with the obligations under the Agreement (general project reviews or specific issues reviews).</w:t>
      </w:r>
    </w:p>
    <w:p w:rsidR="00000000" w:rsidDel="00000000" w:rsidP="00000000" w:rsidRDefault="00000000" w:rsidRPr="00000000" w14:paraId="0000005F">
      <w:pPr>
        <w:spacing w:after="240" w:before="240" w:lineRule="auto"/>
        <w:rPr/>
      </w:pPr>
      <w:r w:rsidDel="00000000" w:rsidR="00000000" w:rsidRPr="00000000">
        <w:rPr>
          <w:rtl w:val="0"/>
        </w:rPr>
        <w:t xml:space="preserve">Such project reviews may be started during the implementation of the action and until the time-limit set out in the Data Sheet (see Point 6). They will be formally notified to the coordinator or beneficiary concerned and will be considered to start on the date of the notification.</w:t>
      </w:r>
    </w:p>
    <w:p w:rsidR="00000000" w:rsidDel="00000000" w:rsidP="00000000" w:rsidRDefault="00000000" w:rsidRPr="00000000" w14:paraId="00000060">
      <w:pPr>
        <w:spacing w:after="240" w:before="240" w:lineRule="auto"/>
        <w:rPr/>
      </w:pPr>
      <w:r w:rsidDel="00000000" w:rsidR="00000000" w:rsidRPr="00000000">
        <w:rPr>
          <w:rtl w:val="0"/>
        </w:rPr>
        <w:t xml:space="preserve">If needed, the granting authority may be assisted by independent, outside experts. If it uses outside experts, the coordinator or beneficiary concerned will be informed and have the right to object on grounds of commercial confidentiality or conflict of interest.</w:t>
      </w:r>
    </w:p>
    <w:p w:rsidR="00000000" w:rsidDel="00000000" w:rsidP="00000000" w:rsidRDefault="00000000" w:rsidRPr="00000000" w14:paraId="00000061">
      <w:pPr>
        <w:spacing w:after="240" w:before="240" w:lineRule="auto"/>
        <w:rPr/>
      </w:pPr>
      <w:r w:rsidDel="00000000" w:rsidR="00000000" w:rsidRPr="00000000">
        <w:rPr>
          <w:rtl w:val="0"/>
        </w:rPr>
        <w:t xml:space="preserve">The coordinator or beneficiary concerned must cooperate diligently and provide — within the deadline requested — any information and data in addition to deliverables and reports already submitted (including information on the use of resources). The granting authority may request beneficiaries to provide such information to it directly. Sensitive information and documents will be treated in accordance with Article 13.</w:t>
      </w:r>
    </w:p>
    <w:p w:rsidR="00000000" w:rsidDel="00000000" w:rsidP="00000000" w:rsidRDefault="00000000" w:rsidRPr="00000000" w14:paraId="00000062">
      <w:pPr>
        <w:spacing w:after="240" w:before="240" w:lineRule="auto"/>
        <w:rPr/>
      </w:pPr>
      <w:r w:rsidDel="00000000" w:rsidR="00000000" w:rsidRPr="00000000">
        <w:rPr>
          <w:rtl w:val="0"/>
        </w:rPr>
        <w:t xml:space="preserve">The coordinator or beneficiary concerned may be requested to participate in meetings, including with the outside experts.</w:t>
      </w:r>
    </w:p>
    <w:p w:rsidR="00000000" w:rsidDel="00000000" w:rsidP="00000000" w:rsidRDefault="00000000" w:rsidRPr="00000000" w14:paraId="00000063">
      <w:pPr>
        <w:spacing w:after="240" w:before="240" w:lineRule="auto"/>
        <w:rPr/>
      </w:pPr>
      <w:r w:rsidDel="00000000" w:rsidR="00000000" w:rsidRPr="00000000">
        <w:rPr>
          <w:rtl w:val="0"/>
        </w:rPr>
        <w:t xml:space="preserve">For </w:t>
      </w:r>
      <w:r w:rsidDel="00000000" w:rsidR="00000000" w:rsidRPr="00000000">
        <w:rPr>
          <w:b w:val="1"/>
          <w:rtl w:val="0"/>
        </w:rPr>
        <w:t xml:space="preserve">on-the-spot visits</w:t>
      </w:r>
      <w:r w:rsidDel="00000000" w:rsidR="00000000" w:rsidRPr="00000000">
        <w:rPr>
          <w:rtl w:val="0"/>
        </w:rPr>
        <w:t xml:space="preserve">, the beneficiary concerned must allow access to sites and premises (including to the outside experts) and must ensure that information requested is readily available.</w:t>
      </w:r>
    </w:p>
    <w:p w:rsidR="00000000" w:rsidDel="00000000" w:rsidP="00000000" w:rsidRDefault="00000000" w:rsidRPr="00000000" w14:paraId="00000064">
      <w:pPr>
        <w:spacing w:after="240" w:before="240" w:lineRule="auto"/>
        <w:rPr/>
      </w:pPr>
      <w:r w:rsidDel="00000000" w:rsidR="00000000" w:rsidRPr="00000000">
        <w:rPr>
          <w:rtl w:val="0"/>
        </w:rPr>
        <w:t xml:space="preserve">Information provided must be accurate, precise and complete and in the format requested, including electronic format.</w:t>
      </w:r>
    </w:p>
    <w:p w:rsidR="00000000" w:rsidDel="00000000" w:rsidP="00000000" w:rsidRDefault="00000000" w:rsidRPr="00000000" w14:paraId="00000065">
      <w:pPr>
        <w:spacing w:after="240" w:before="240" w:lineRule="auto"/>
        <w:rPr/>
      </w:pPr>
      <w:r w:rsidDel="00000000" w:rsidR="00000000" w:rsidRPr="00000000">
        <w:rPr>
          <w:rtl w:val="0"/>
        </w:rPr>
        <w:t xml:space="preserve">On the basis of the review findings, a </w:t>
      </w:r>
      <w:r w:rsidDel="00000000" w:rsidR="00000000" w:rsidRPr="00000000">
        <w:rPr>
          <w:b w:val="1"/>
          <w:rtl w:val="0"/>
        </w:rPr>
        <w:t xml:space="preserve">project review report </w:t>
      </w:r>
      <w:r w:rsidDel="00000000" w:rsidR="00000000" w:rsidRPr="00000000">
        <w:rPr>
          <w:rtl w:val="0"/>
        </w:rPr>
        <w:t xml:space="preserve">will be drawn up.</w:t>
      </w:r>
    </w:p>
    <w:p w:rsidR="00000000" w:rsidDel="00000000" w:rsidP="00000000" w:rsidRDefault="00000000" w:rsidRPr="00000000" w14:paraId="00000066">
      <w:pPr>
        <w:spacing w:after="240" w:before="240" w:lineRule="auto"/>
        <w:rPr/>
      </w:pPr>
      <w:r w:rsidDel="00000000" w:rsidR="00000000" w:rsidRPr="00000000">
        <w:rPr>
          <w:rtl w:val="0"/>
        </w:rPr>
        <w:t xml:space="preserve">The granting authority will formally notify the project review report to the coordinator or beneficiary concerned, which has 30 days from receiving notification to make observations.</w:t>
      </w:r>
    </w:p>
    <w:p w:rsidR="00000000" w:rsidDel="00000000" w:rsidP="00000000" w:rsidRDefault="00000000" w:rsidRPr="00000000" w14:paraId="00000067">
      <w:pPr>
        <w:spacing w:after="240" w:before="240" w:lineRule="auto"/>
        <w:rPr/>
      </w:pPr>
      <w:r w:rsidDel="00000000" w:rsidR="00000000" w:rsidRPr="00000000">
        <w:rPr>
          <w:rtl w:val="0"/>
        </w:rPr>
        <w:t xml:space="preserve">Project reviews (including project review reports) will be in the language of the Agreement.</w:t>
      </w:r>
    </w:p>
    <w:p w:rsidR="00000000" w:rsidDel="00000000" w:rsidP="00000000" w:rsidRDefault="00000000" w:rsidRPr="00000000" w14:paraId="00000068">
      <w:pPr>
        <w:spacing w:after="240" w:before="240" w:lineRule="auto"/>
        <w:rPr>
          <w:b w:val="1"/>
        </w:rPr>
      </w:pPr>
      <w:r w:rsidDel="00000000" w:rsidR="00000000" w:rsidRPr="00000000">
        <w:rPr>
          <w:b w:val="1"/>
          <w:rtl w:val="0"/>
        </w:rPr>
        <w:t xml:space="preserve">25.1.3 Audits</w:t>
      </w:r>
    </w:p>
    <w:p w:rsidR="00000000" w:rsidDel="00000000" w:rsidP="00000000" w:rsidRDefault="00000000" w:rsidRPr="00000000" w14:paraId="00000069">
      <w:pPr>
        <w:spacing w:after="240" w:before="240" w:lineRule="auto"/>
        <w:rPr/>
      </w:pPr>
      <w:r w:rsidDel="00000000" w:rsidR="00000000" w:rsidRPr="00000000">
        <w:rPr>
          <w:rtl w:val="0"/>
        </w:rPr>
        <w:t xml:space="preserve">The granting authority may carry out audits on the proper implementation of the action and compliance with the obligations under the Agreement.</w:t>
      </w:r>
    </w:p>
    <w:p w:rsidR="00000000" w:rsidDel="00000000" w:rsidP="00000000" w:rsidRDefault="00000000" w:rsidRPr="00000000" w14:paraId="0000006A">
      <w:pPr>
        <w:spacing w:after="240" w:before="240" w:lineRule="auto"/>
        <w:rPr/>
      </w:pPr>
      <w:r w:rsidDel="00000000" w:rsidR="00000000" w:rsidRPr="00000000">
        <w:rPr>
          <w:rtl w:val="0"/>
        </w:rPr>
        <w:t xml:space="preserve">Such audits may be started during the implementation of the action and until the time-limit set out in the Data Sheet (see Point 6). They will be formally notified to the beneficiary concerned and will be considered to start on the date of the notification.</w:t>
      </w:r>
    </w:p>
    <w:p w:rsidR="00000000" w:rsidDel="00000000" w:rsidP="00000000" w:rsidRDefault="00000000" w:rsidRPr="00000000" w14:paraId="0000006B">
      <w:pPr>
        <w:spacing w:after="240" w:before="240" w:lineRule="auto"/>
        <w:rPr/>
      </w:pPr>
      <w:r w:rsidDel="00000000" w:rsidR="00000000" w:rsidRPr="00000000">
        <w:rPr>
          <w:rtl w:val="0"/>
        </w:rPr>
        <w:t xml:space="preserve">The granting authority may use its own audit service, delegate audits to a centralised service or use external audit firms. If it uses an external firm, the beneficiary concerned will be informed and have the right to object on grounds of commercial confidentiality or conflict of interest.</w:t>
      </w:r>
    </w:p>
    <w:p w:rsidR="00000000" w:rsidDel="00000000" w:rsidP="00000000" w:rsidRDefault="00000000" w:rsidRPr="00000000" w14:paraId="0000006C">
      <w:pPr>
        <w:spacing w:after="240" w:before="240" w:lineRule="auto"/>
        <w:rPr/>
      </w:pPr>
      <w:r w:rsidDel="00000000" w:rsidR="00000000" w:rsidRPr="00000000">
        <w:rPr>
          <w:rtl w:val="0"/>
        </w:rPr>
        <w:t xml:space="preserve">The beneficiary concerned must cooperate diligently and provide — within the deadline requested — any information (including complete accounts, individual salary statements or other personal data) to verify compliance with the Agreement. Sensitive information and documents will be treated in accordance with Article 13.</w:t>
      </w:r>
    </w:p>
    <w:p w:rsidR="00000000" w:rsidDel="00000000" w:rsidP="00000000" w:rsidRDefault="00000000" w:rsidRPr="00000000" w14:paraId="0000006D">
      <w:pPr>
        <w:spacing w:after="240" w:before="240" w:lineRule="auto"/>
        <w:rPr/>
      </w:pPr>
      <w:r w:rsidDel="00000000" w:rsidR="00000000" w:rsidRPr="00000000">
        <w:rPr>
          <w:rtl w:val="0"/>
        </w:rPr>
        <w:t xml:space="preserve">For </w:t>
      </w:r>
      <w:r w:rsidDel="00000000" w:rsidR="00000000" w:rsidRPr="00000000">
        <w:rPr>
          <w:b w:val="1"/>
          <w:rtl w:val="0"/>
        </w:rPr>
        <w:t xml:space="preserve">on-the-spot </w:t>
      </w:r>
      <w:r w:rsidDel="00000000" w:rsidR="00000000" w:rsidRPr="00000000">
        <w:rPr>
          <w:rtl w:val="0"/>
        </w:rPr>
        <w:t xml:space="preserve">visits, the beneficiary concerned must allow access to sites and premises (including for the external audit firm) and must ensure that information requested is readily available.</w:t>
      </w:r>
    </w:p>
    <w:p w:rsidR="00000000" w:rsidDel="00000000" w:rsidP="00000000" w:rsidRDefault="00000000" w:rsidRPr="00000000" w14:paraId="0000006E">
      <w:pPr>
        <w:spacing w:after="240" w:before="240" w:lineRule="auto"/>
        <w:rPr/>
      </w:pPr>
      <w:r w:rsidDel="00000000" w:rsidR="00000000" w:rsidRPr="00000000">
        <w:rPr>
          <w:rtl w:val="0"/>
        </w:rPr>
        <w:t xml:space="preserve">Information provided must be accurate, precise and complete and in the format requested, including electronic format.</w:t>
      </w:r>
    </w:p>
    <w:p w:rsidR="00000000" w:rsidDel="00000000" w:rsidP="00000000" w:rsidRDefault="00000000" w:rsidRPr="00000000" w14:paraId="0000006F">
      <w:pPr>
        <w:spacing w:after="240" w:before="240" w:lineRule="auto"/>
        <w:rPr/>
      </w:pPr>
      <w:r w:rsidDel="00000000" w:rsidR="00000000" w:rsidRPr="00000000">
        <w:rPr>
          <w:rtl w:val="0"/>
        </w:rPr>
        <w:t xml:space="preserve">On the basis of the audit findings, a </w:t>
      </w:r>
      <w:r w:rsidDel="00000000" w:rsidR="00000000" w:rsidRPr="00000000">
        <w:rPr>
          <w:b w:val="1"/>
          <w:rtl w:val="0"/>
        </w:rPr>
        <w:t xml:space="preserve">draft audit report </w:t>
      </w:r>
      <w:r w:rsidDel="00000000" w:rsidR="00000000" w:rsidRPr="00000000">
        <w:rPr>
          <w:rtl w:val="0"/>
        </w:rPr>
        <w:t xml:space="preserve">will be drawn up.</w:t>
      </w:r>
    </w:p>
    <w:p w:rsidR="00000000" w:rsidDel="00000000" w:rsidP="00000000" w:rsidRDefault="00000000" w:rsidRPr="00000000" w14:paraId="00000070">
      <w:pPr>
        <w:spacing w:after="240" w:before="240" w:lineRule="auto"/>
        <w:rPr/>
      </w:pPr>
      <w:r w:rsidDel="00000000" w:rsidR="00000000" w:rsidRPr="00000000">
        <w:rPr>
          <w:rtl w:val="0"/>
        </w:rPr>
        <w:t xml:space="preserve">The auditors will formally notify the draft audit report to the beneficiary concerned, which has 30 days from receiving notification to make observations (contradictory audit procedure).</w:t>
      </w:r>
    </w:p>
    <w:p w:rsidR="00000000" w:rsidDel="00000000" w:rsidP="00000000" w:rsidRDefault="00000000" w:rsidRPr="00000000" w14:paraId="00000071">
      <w:pPr>
        <w:spacing w:after="240" w:before="240" w:lineRule="auto"/>
        <w:rPr/>
      </w:pPr>
      <w:r w:rsidDel="00000000" w:rsidR="00000000" w:rsidRPr="00000000">
        <w:rPr>
          <w:rtl w:val="0"/>
        </w:rPr>
        <w:t xml:space="preserve">The </w:t>
      </w:r>
      <w:r w:rsidDel="00000000" w:rsidR="00000000" w:rsidRPr="00000000">
        <w:rPr>
          <w:b w:val="1"/>
          <w:rtl w:val="0"/>
        </w:rPr>
        <w:t xml:space="preserve">final audit report </w:t>
      </w:r>
      <w:r w:rsidDel="00000000" w:rsidR="00000000" w:rsidRPr="00000000">
        <w:rPr>
          <w:rtl w:val="0"/>
        </w:rPr>
        <w:t xml:space="preserve">will take into account observations by the beneficiary concerned and will be formally notified to them.</w:t>
      </w:r>
    </w:p>
    <w:p w:rsidR="00000000" w:rsidDel="00000000" w:rsidP="00000000" w:rsidRDefault="00000000" w:rsidRPr="00000000" w14:paraId="00000072">
      <w:pPr>
        <w:spacing w:after="240" w:before="240" w:lineRule="auto"/>
        <w:rPr/>
      </w:pPr>
      <w:r w:rsidDel="00000000" w:rsidR="00000000" w:rsidRPr="00000000">
        <w:rPr>
          <w:rtl w:val="0"/>
        </w:rPr>
        <w:t xml:space="preserve">Audits (including audit reports) will be in the language of the Agreement.</w:t>
      </w:r>
    </w:p>
    <w:p w:rsidR="00000000" w:rsidDel="00000000" w:rsidP="00000000" w:rsidRDefault="00000000" w:rsidRPr="00000000" w14:paraId="00000073">
      <w:pPr>
        <w:spacing w:after="240" w:before="240" w:lineRule="auto"/>
        <w:rPr>
          <w:b w:val="1"/>
        </w:rPr>
      </w:pPr>
      <w:r w:rsidDel="00000000" w:rsidR="00000000" w:rsidRPr="00000000">
        <w:rPr>
          <w:b w:val="1"/>
          <w:rtl w:val="0"/>
        </w:rPr>
        <w:t xml:space="preserve">25.2 European Commission checks, reviews and audits in grants of other granting</w:t>
      </w:r>
    </w:p>
    <w:p w:rsidR="00000000" w:rsidDel="00000000" w:rsidP="00000000" w:rsidRDefault="00000000" w:rsidRPr="00000000" w14:paraId="00000074">
      <w:pPr>
        <w:spacing w:after="240" w:before="240" w:lineRule="auto"/>
        <w:rPr>
          <w:b w:val="1"/>
        </w:rPr>
      </w:pPr>
      <w:r w:rsidDel="00000000" w:rsidR="00000000" w:rsidRPr="00000000">
        <w:rPr>
          <w:b w:val="1"/>
          <w:rtl w:val="0"/>
        </w:rPr>
        <w:t xml:space="preserve">authorities</w:t>
      </w:r>
    </w:p>
    <w:p w:rsidR="00000000" w:rsidDel="00000000" w:rsidP="00000000" w:rsidRDefault="00000000" w:rsidRPr="00000000" w14:paraId="00000075">
      <w:pPr>
        <w:spacing w:after="240" w:before="240" w:lineRule="auto"/>
        <w:rPr/>
      </w:pPr>
      <w:r w:rsidDel="00000000" w:rsidR="00000000" w:rsidRPr="00000000">
        <w:rPr>
          <w:rtl w:val="0"/>
        </w:rPr>
        <w:t xml:space="preserve">Where the granting authority is not the European Commission, the latter has the same rights of checks,</w:t>
      </w:r>
    </w:p>
    <w:p w:rsidR="00000000" w:rsidDel="00000000" w:rsidP="00000000" w:rsidRDefault="00000000" w:rsidRPr="00000000" w14:paraId="00000076">
      <w:pPr>
        <w:spacing w:after="240" w:before="240" w:lineRule="auto"/>
        <w:rPr/>
      </w:pPr>
      <w:r w:rsidDel="00000000" w:rsidR="00000000" w:rsidRPr="00000000">
        <w:rPr>
          <w:rtl w:val="0"/>
        </w:rPr>
        <w:t xml:space="preserve">reviews and audits as the granting authority.</w:t>
      </w:r>
    </w:p>
    <w:p w:rsidR="00000000" w:rsidDel="00000000" w:rsidP="00000000" w:rsidRDefault="00000000" w:rsidRPr="00000000" w14:paraId="00000077">
      <w:pPr>
        <w:spacing w:after="240" w:before="240" w:lineRule="auto"/>
        <w:rPr>
          <w:b w:val="1"/>
        </w:rPr>
      </w:pPr>
      <w:r w:rsidDel="00000000" w:rsidR="00000000" w:rsidRPr="00000000">
        <w:rPr>
          <w:b w:val="1"/>
          <w:rtl w:val="0"/>
        </w:rPr>
        <w:t xml:space="preserve">25.3 Access to records for assessing simplified forms of funding</w:t>
      </w:r>
    </w:p>
    <w:p w:rsidR="00000000" w:rsidDel="00000000" w:rsidP="00000000" w:rsidRDefault="00000000" w:rsidRPr="00000000" w14:paraId="00000078">
      <w:pPr>
        <w:spacing w:after="240" w:before="240" w:lineRule="auto"/>
        <w:rPr/>
      </w:pPr>
      <w:r w:rsidDel="00000000" w:rsidR="00000000" w:rsidRPr="00000000">
        <w:rPr>
          <w:rtl w:val="0"/>
        </w:rPr>
        <w:t xml:space="preserve">The beneficiaries must give the European Commission access to their statutory records for the periodic assessment of simplified forms of funding which are used in EU programmes.</w:t>
      </w:r>
    </w:p>
    <w:p w:rsidR="00000000" w:rsidDel="00000000" w:rsidP="00000000" w:rsidRDefault="00000000" w:rsidRPr="00000000" w14:paraId="00000079">
      <w:pPr>
        <w:spacing w:after="240" w:before="240" w:lineRule="auto"/>
        <w:rPr>
          <w:b w:val="1"/>
        </w:rPr>
      </w:pPr>
      <w:r w:rsidDel="00000000" w:rsidR="00000000" w:rsidRPr="00000000">
        <w:rPr>
          <w:b w:val="1"/>
          <w:rtl w:val="0"/>
        </w:rPr>
        <w:t xml:space="preserve"> </w:t>
      </w:r>
    </w:p>
    <w:p w:rsidR="00000000" w:rsidDel="00000000" w:rsidP="00000000" w:rsidRDefault="00000000" w:rsidRPr="00000000" w14:paraId="0000007A">
      <w:pPr>
        <w:spacing w:after="240" w:before="240" w:lineRule="auto"/>
        <w:rPr>
          <w:b w:val="1"/>
        </w:rPr>
      </w:pPr>
      <w:r w:rsidDel="00000000" w:rsidR="00000000" w:rsidRPr="00000000">
        <w:rPr>
          <w:b w:val="1"/>
          <w:rtl w:val="0"/>
        </w:rPr>
        <w:t xml:space="preserve">25.4 OLAF, EPPO and ECA audits and investigations</w:t>
      </w:r>
    </w:p>
    <w:p w:rsidR="00000000" w:rsidDel="00000000" w:rsidP="00000000" w:rsidRDefault="00000000" w:rsidRPr="00000000" w14:paraId="0000007B">
      <w:pPr>
        <w:spacing w:after="240" w:before="240" w:lineRule="auto"/>
        <w:rPr/>
      </w:pPr>
      <w:r w:rsidDel="00000000" w:rsidR="00000000" w:rsidRPr="00000000">
        <w:rPr>
          <w:rtl w:val="0"/>
        </w:rPr>
        <w:t xml:space="preserve">The following bodies may also carry out checks, reviews, audits and investigations — during the action or afterwards:</w:t>
      </w:r>
    </w:p>
    <w:p w:rsidR="00000000" w:rsidDel="00000000" w:rsidP="00000000" w:rsidRDefault="00000000" w:rsidRPr="00000000" w14:paraId="0000007C">
      <w:pPr>
        <w:spacing w:after="240" w:before="240" w:lineRule="auto"/>
        <w:rPr>
          <w:rFonts w:ascii="Arial" w:cs="Arial" w:eastAsia="Arial" w:hAnsi="Arial"/>
          <w:sz w:val="24"/>
          <w:szCs w:val="24"/>
        </w:rPr>
      </w:pPr>
      <w:r w:rsidDel="00000000" w:rsidR="00000000" w:rsidRPr="00000000">
        <w:rPr>
          <w:rtl w:val="0"/>
        </w:rPr>
        <w:t xml:space="preserve">- the European Anti-Fraud Office (OLAF) under Regulations No 883/2013</w:t>
      </w:r>
      <w:r w:rsidDel="00000000" w:rsidR="00000000" w:rsidRPr="00000000">
        <w:rPr>
          <w:rFonts w:ascii="Arial" w:cs="Arial" w:eastAsia="Arial" w:hAnsi="Arial"/>
          <w:sz w:val="24"/>
          <w:szCs w:val="24"/>
          <w:rtl w:val="0"/>
        </w:rPr>
        <w:t xml:space="preserve">[2]</w:t>
      </w:r>
      <w:r w:rsidDel="00000000" w:rsidR="00000000" w:rsidRPr="00000000">
        <w:rPr>
          <w:rtl w:val="0"/>
        </w:rPr>
        <w:t xml:space="preserve"> and No 2185/96</w:t>
      </w:r>
      <w:r w:rsidDel="00000000" w:rsidR="00000000" w:rsidRPr="00000000">
        <w:rPr>
          <w:rFonts w:ascii="Arial" w:cs="Arial" w:eastAsia="Arial" w:hAnsi="Arial"/>
          <w:sz w:val="24"/>
          <w:szCs w:val="24"/>
          <w:rtl w:val="0"/>
        </w:rPr>
        <w:t xml:space="preserve">[3]</w:t>
      </w:r>
    </w:p>
    <w:p w:rsidR="00000000" w:rsidDel="00000000" w:rsidP="00000000" w:rsidRDefault="00000000" w:rsidRPr="00000000" w14:paraId="0000007D">
      <w:pPr>
        <w:spacing w:after="240" w:before="240" w:lineRule="auto"/>
        <w:rPr/>
      </w:pPr>
      <w:r w:rsidDel="00000000" w:rsidR="00000000" w:rsidRPr="00000000">
        <w:rPr>
          <w:rtl w:val="0"/>
        </w:rPr>
        <w:t xml:space="preserve">- the European Public Prosecutor’s Office (EPPO) under Regulation 2017/1939</w:t>
      </w:r>
    </w:p>
    <w:p w:rsidR="00000000" w:rsidDel="00000000" w:rsidP="00000000" w:rsidRDefault="00000000" w:rsidRPr="00000000" w14:paraId="0000007E">
      <w:pPr>
        <w:spacing w:after="240" w:before="240" w:lineRule="auto"/>
        <w:rPr/>
      </w:pPr>
      <w:r w:rsidDel="00000000" w:rsidR="00000000" w:rsidRPr="00000000">
        <w:rPr>
          <w:rtl w:val="0"/>
        </w:rPr>
        <w:t xml:space="preserve">- the European Court of Auditors (ECA) under Article 287 of the Treaty on the Functioning of the EU (TFEU) and Article 257 of EU Financial Regulation 2018/1046.</w:t>
      </w:r>
    </w:p>
    <w:p w:rsidR="00000000" w:rsidDel="00000000" w:rsidP="00000000" w:rsidRDefault="00000000" w:rsidRPr="00000000" w14:paraId="0000007F">
      <w:pPr>
        <w:spacing w:after="240" w:before="240" w:lineRule="auto"/>
        <w:rPr/>
      </w:pPr>
      <w:r w:rsidDel="00000000" w:rsidR="00000000" w:rsidRPr="00000000">
        <w:rPr>
          <w:rtl w:val="0"/>
        </w:rPr>
        <w:t xml:space="preserve">If requested by these bodies, the beneficiary concerned must provide full, accurate and complete information in the format requested (including complete accounts, individual salary statements or other personal data, including in electronic format) and allow access to sites and premises for on-the-spot visits or inspections — as provided for under these Regulations.</w:t>
      </w:r>
    </w:p>
    <w:p w:rsidR="00000000" w:rsidDel="00000000" w:rsidP="00000000" w:rsidRDefault="00000000" w:rsidRPr="00000000" w14:paraId="00000080">
      <w:pPr>
        <w:spacing w:after="240" w:before="240" w:lineRule="auto"/>
        <w:rPr/>
      </w:pPr>
      <w:r w:rsidDel="00000000" w:rsidR="00000000" w:rsidRPr="00000000">
        <w:rPr>
          <w:rtl w:val="0"/>
        </w:rPr>
        <w:t xml:space="preserve">To this end, the beneficiary concerned must keep all relevant information relating to the action, at least until the time-limit set out in the Data Sheet (Point 6) and, in any case, until any ongoing checks, reviews, audits, investigations, litigation or other pursuits of claims have been concluded.</w:t>
      </w:r>
    </w:p>
    <w:p w:rsidR="00000000" w:rsidDel="00000000" w:rsidP="00000000" w:rsidRDefault="00000000" w:rsidRPr="00000000" w14:paraId="00000081">
      <w:pPr>
        <w:spacing w:after="240" w:before="240" w:lineRule="auto"/>
        <w:rPr>
          <w:b w:val="1"/>
        </w:rPr>
      </w:pPr>
      <w:r w:rsidDel="00000000" w:rsidR="00000000" w:rsidRPr="00000000">
        <w:rPr>
          <w:b w:val="1"/>
          <w:rtl w:val="0"/>
        </w:rPr>
        <w:t xml:space="preserve">25.5 Consequences of checks, reviews, audits and investigations — Extension of results of reviews, audits or investigations</w:t>
      </w:r>
    </w:p>
    <w:p w:rsidR="00000000" w:rsidDel="00000000" w:rsidP="00000000" w:rsidRDefault="00000000" w:rsidRPr="00000000" w14:paraId="00000082">
      <w:pPr>
        <w:spacing w:after="240" w:before="240" w:lineRule="auto"/>
        <w:rPr>
          <w:b w:val="1"/>
        </w:rPr>
      </w:pPr>
      <w:r w:rsidDel="00000000" w:rsidR="00000000" w:rsidRPr="00000000">
        <w:rPr>
          <w:b w:val="1"/>
          <w:rtl w:val="0"/>
        </w:rPr>
        <w:t xml:space="preserve">25.5.1 Consequences of checks, reviews, audits and investigations in this grant</w:t>
      </w:r>
    </w:p>
    <w:p w:rsidR="00000000" w:rsidDel="00000000" w:rsidP="00000000" w:rsidRDefault="00000000" w:rsidRPr="00000000" w14:paraId="00000083">
      <w:pPr>
        <w:spacing w:after="240" w:before="240" w:lineRule="auto"/>
        <w:rPr/>
      </w:pPr>
      <w:r w:rsidDel="00000000" w:rsidR="00000000" w:rsidRPr="00000000">
        <w:rPr>
          <w:rtl w:val="0"/>
        </w:rPr>
        <w:t xml:space="preserve">Findings in checks, reviews, audits or investigations carried out in the context of this grant may lead to rejections (see Article 27), grant reduction (see Article 28) or other measures described in Chapter 5.</w:t>
      </w:r>
    </w:p>
    <w:p w:rsidR="00000000" w:rsidDel="00000000" w:rsidP="00000000" w:rsidRDefault="00000000" w:rsidRPr="00000000" w14:paraId="00000084">
      <w:pPr>
        <w:spacing w:after="240" w:before="240" w:lineRule="auto"/>
        <w:rPr/>
      </w:pPr>
      <w:r w:rsidDel="00000000" w:rsidR="00000000" w:rsidRPr="00000000">
        <w:rPr>
          <w:rtl w:val="0"/>
        </w:rPr>
        <w:t xml:space="preserve">Rejections or grant reductions after the final payment will lead to a revised final grant amount (see Article 22).</w:t>
      </w:r>
    </w:p>
    <w:p w:rsidR="00000000" w:rsidDel="00000000" w:rsidP="00000000" w:rsidRDefault="00000000" w:rsidRPr="00000000" w14:paraId="00000085">
      <w:pPr>
        <w:spacing w:after="240" w:before="240" w:lineRule="auto"/>
        <w:rPr/>
      </w:pPr>
      <w:r w:rsidDel="00000000" w:rsidR="00000000" w:rsidRPr="00000000">
        <w:rPr>
          <w:rtl w:val="0"/>
        </w:rPr>
        <w:t xml:space="preserve">Findings in checks, reviews, audits or investigations during the action implementation may lead to a request for amendment (see Article 39), to change the description of the action set out in Annex 1.</w:t>
      </w:r>
    </w:p>
    <w:p w:rsidR="00000000" w:rsidDel="00000000" w:rsidP="00000000" w:rsidRDefault="00000000" w:rsidRPr="00000000" w14:paraId="00000086">
      <w:pPr>
        <w:spacing w:after="240" w:before="240" w:lineRule="auto"/>
        <w:rPr/>
      </w:pPr>
      <w:r w:rsidDel="00000000" w:rsidR="00000000" w:rsidRPr="00000000">
        <w:rPr>
          <w:rtl w:val="0"/>
        </w:rPr>
        <w:t xml:space="preserve">Checks, reviews, audits or investigations that find systemic or recurrent errors, irregularities, fraud or breach of obligations in any EU grant may also lead to consequences in other EU grants awarded under similar conditions (‘extension to other grants’).</w:t>
      </w:r>
    </w:p>
    <w:p w:rsidR="00000000" w:rsidDel="00000000" w:rsidP="00000000" w:rsidRDefault="00000000" w:rsidRPr="00000000" w14:paraId="00000087">
      <w:pPr>
        <w:spacing w:after="240" w:before="240" w:lineRule="auto"/>
        <w:rPr/>
      </w:pPr>
      <w:r w:rsidDel="00000000" w:rsidR="00000000" w:rsidRPr="00000000">
        <w:rPr>
          <w:rtl w:val="0"/>
        </w:rPr>
        <w:t xml:space="preserve">Moreover, findings arising from an OLAF or EPPO investigation may lead to criminal prosecution under national law.</w:t>
      </w:r>
    </w:p>
    <w:p w:rsidR="00000000" w:rsidDel="00000000" w:rsidP="00000000" w:rsidRDefault="00000000" w:rsidRPr="00000000" w14:paraId="00000088">
      <w:pPr>
        <w:spacing w:after="240" w:before="240" w:lineRule="auto"/>
        <w:rPr>
          <w:b w:val="1"/>
        </w:rPr>
      </w:pPr>
      <w:r w:rsidDel="00000000" w:rsidR="00000000" w:rsidRPr="00000000">
        <w:rPr>
          <w:b w:val="1"/>
          <w:rtl w:val="0"/>
        </w:rPr>
        <w:t xml:space="preserve">25.5.2 Extension from other grants</w:t>
      </w:r>
    </w:p>
    <w:p w:rsidR="00000000" w:rsidDel="00000000" w:rsidP="00000000" w:rsidRDefault="00000000" w:rsidRPr="00000000" w14:paraId="00000089">
      <w:pPr>
        <w:spacing w:after="240" w:before="240" w:lineRule="auto"/>
        <w:rPr/>
      </w:pPr>
      <w:r w:rsidDel="00000000" w:rsidR="00000000" w:rsidRPr="00000000">
        <w:rPr>
          <w:rtl w:val="0"/>
        </w:rPr>
        <w:t xml:space="preserve">Results of checks, reviews, audits or investigations in other grants may be extended to this grant, if:</w:t>
      </w:r>
    </w:p>
    <w:p w:rsidR="00000000" w:rsidDel="00000000" w:rsidP="00000000" w:rsidRDefault="00000000" w:rsidRPr="00000000" w14:paraId="0000008A">
      <w:pPr>
        <w:numPr>
          <w:ilvl w:val="0"/>
          <w:numId w:val="2"/>
        </w:numPr>
        <w:spacing w:after="0" w:afterAutospacing="0" w:before="240" w:lineRule="auto"/>
        <w:ind w:left="720" w:hanging="360"/>
      </w:pPr>
      <w:r w:rsidDel="00000000" w:rsidR="00000000" w:rsidRPr="00000000">
        <w:rPr>
          <w:rtl w:val="0"/>
        </w:rPr>
        <w:t xml:space="preserve">the beneficiary concerned is found, in other EU grants awarded under similar conditions, to have committed systemic or recurrent errors, irregularities, fraud or breach of obligations that have a material impact on this grant and</w:t>
      </w:r>
    </w:p>
    <w:p w:rsidR="00000000" w:rsidDel="00000000" w:rsidP="00000000" w:rsidRDefault="00000000" w:rsidRPr="00000000" w14:paraId="0000008B">
      <w:pPr>
        <w:numPr>
          <w:ilvl w:val="0"/>
          <w:numId w:val="2"/>
        </w:numPr>
        <w:spacing w:after="240" w:before="0" w:beforeAutospacing="0" w:lineRule="auto"/>
        <w:ind w:left="720" w:hanging="360"/>
      </w:pPr>
      <w:r w:rsidDel="00000000" w:rsidR="00000000" w:rsidRPr="00000000">
        <w:rPr>
          <w:rtl w:val="0"/>
        </w:rPr>
        <w:t xml:space="preserve">those findings are formally notified to the beneficiary concerned — together with the list of grants affected by the findings — within the time-limit for audits set out in the Data Sheet (see Point 6).</w:t>
      </w:r>
    </w:p>
    <w:p w:rsidR="00000000" w:rsidDel="00000000" w:rsidP="00000000" w:rsidRDefault="00000000" w:rsidRPr="00000000" w14:paraId="0000008C">
      <w:pPr>
        <w:spacing w:after="0" w:before="240" w:line="276" w:lineRule="auto"/>
        <w:rPr/>
      </w:pPr>
      <w:r w:rsidDel="00000000" w:rsidR="00000000" w:rsidRPr="00000000">
        <w:rPr>
          <w:rtl w:val="0"/>
        </w:rPr>
        <w:t xml:space="preserve">The granting authority will formally notify the beneficiary concerned of the intention to extend the findings and the list of grants affected.</w:t>
      </w:r>
    </w:p>
    <w:p w:rsidR="00000000" w:rsidDel="00000000" w:rsidP="00000000" w:rsidRDefault="00000000" w:rsidRPr="00000000" w14:paraId="0000008D">
      <w:pPr>
        <w:spacing w:after="240" w:before="240" w:lineRule="auto"/>
        <w:rPr/>
      </w:pPr>
      <w:r w:rsidDel="00000000" w:rsidR="00000000" w:rsidRPr="00000000">
        <w:rPr>
          <w:rtl w:val="0"/>
        </w:rPr>
        <w:t xml:space="preserve">If the extension concerns rejections of costs or contributions: the notification will include:</w:t>
      </w:r>
    </w:p>
    <w:p w:rsidR="00000000" w:rsidDel="00000000" w:rsidP="00000000" w:rsidRDefault="00000000" w:rsidRPr="00000000" w14:paraId="0000008E">
      <w:pPr>
        <w:numPr>
          <w:ilvl w:val="0"/>
          <w:numId w:val="4"/>
        </w:numPr>
        <w:spacing w:after="0" w:afterAutospacing="0" w:before="240" w:lineRule="auto"/>
        <w:ind w:left="720" w:hanging="360"/>
      </w:pPr>
      <w:r w:rsidDel="00000000" w:rsidR="00000000" w:rsidRPr="00000000">
        <w:rPr>
          <w:rtl w:val="0"/>
        </w:rPr>
        <w:t xml:space="preserve">an invitation to submit observations on the list of grants affected by the findings</w:t>
      </w:r>
    </w:p>
    <w:p w:rsidR="00000000" w:rsidDel="00000000" w:rsidP="00000000" w:rsidRDefault="00000000" w:rsidRPr="00000000" w14:paraId="0000008F">
      <w:pPr>
        <w:numPr>
          <w:ilvl w:val="0"/>
          <w:numId w:val="4"/>
        </w:numPr>
        <w:spacing w:after="0" w:afterAutospacing="0" w:before="0" w:beforeAutospacing="0" w:lineRule="auto"/>
        <w:ind w:left="720" w:hanging="360"/>
      </w:pPr>
      <w:r w:rsidDel="00000000" w:rsidR="00000000" w:rsidRPr="00000000">
        <w:rPr>
          <w:rtl w:val="0"/>
        </w:rPr>
        <w:t xml:space="preserve">the request to submit revised financial statements for all grants affected</w:t>
      </w:r>
    </w:p>
    <w:p w:rsidR="00000000" w:rsidDel="00000000" w:rsidP="00000000" w:rsidRDefault="00000000" w:rsidRPr="00000000" w14:paraId="00000090">
      <w:pPr>
        <w:numPr>
          <w:ilvl w:val="0"/>
          <w:numId w:val="4"/>
        </w:numPr>
        <w:spacing w:after="0" w:afterAutospacing="0" w:before="0" w:beforeAutospacing="0" w:lineRule="auto"/>
        <w:ind w:left="720" w:hanging="360"/>
      </w:pPr>
      <w:r w:rsidDel="00000000" w:rsidR="00000000" w:rsidRPr="00000000">
        <w:rPr>
          <w:rtl w:val="0"/>
        </w:rPr>
        <w:t xml:space="preserve">the correction rate for extrapolation, established on the basis of the systemic or recurrent errors, to calculate the amounts to be rejected, if the beneficiary concerned:</w:t>
      </w:r>
    </w:p>
    <w:p w:rsidR="00000000" w:rsidDel="00000000" w:rsidP="00000000" w:rsidRDefault="00000000" w:rsidRPr="00000000" w14:paraId="00000091">
      <w:pPr>
        <w:numPr>
          <w:ilvl w:val="2"/>
          <w:numId w:val="4"/>
        </w:numPr>
        <w:spacing w:after="0" w:afterAutospacing="0" w:before="0" w:beforeAutospacing="0" w:lineRule="auto"/>
        <w:ind w:left="2160" w:hanging="360"/>
      </w:pPr>
      <w:r w:rsidDel="00000000" w:rsidR="00000000" w:rsidRPr="00000000">
        <w:rPr>
          <w:rtl w:val="0"/>
        </w:rPr>
        <w:t xml:space="preserve">considers that the submission of revised financial statements is not possible or practicable or</w:t>
      </w:r>
    </w:p>
    <w:p w:rsidR="00000000" w:rsidDel="00000000" w:rsidP="00000000" w:rsidRDefault="00000000" w:rsidRPr="00000000" w14:paraId="00000092">
      <w:pPr>
        <w:numPr>
          <w:ilvl w:val="2"/>
          <w:numId w:val="4"/>
        </w:numPr>
        <w:spacing w:after="240" w:before="0" w:beforeAutospacing="0" w:lineRule="auto"/>
        <w:ind w:left="2160" w:hanging="360"/>
      </w:pPr>
      <w:r w:rsidDel="00000000" w:rsidR="00000000" w:rsidRPr="00000000">
        <w:rPr>
          <w:rtl w:val="0"/>
        </w:rPr>
        <w:t xml:space="preserve">does not submit revised financial statements.</w:t>
      </w:r>
    </w:p>
    <w:p w:rsidR="00000000" w:rsidDel="00000000" w:rsidP="00000000" w:rsidRDefault="00000000" w:rsidRPr="00000000" w14:paraId="00000093">
      <w:pPr>
        <w:spacing w:after="240" w:before="240" w:lineRule="auto"/>
        <w:rPr/>
      </w:pPr>
      <w:r w:rsidDel="00000000" w:rsidR="00000000" w:rsidRPr="00000000">
        <w:rPr>
          <w:rtl w:val="0"/>
        </w:rPr>
        <w:t xml:space="preserve">If the extension concerns </w:t>
      </w:r>
      <w:r w:rsidDel="00000000" w:rsidR="00000000" w:rsidRPr="00000000">
        <w:rPr>
          <w:b w:val="1"/>
          <w:rtl w:val="0"/>
        </w:rPr>
        <w:t xml:space="preserve">grant reductions</w:t>
      </w:r>
      <w:r w:rsidDel="00000000" w:rsidR="00000000" w:rsidRPr="00000000">
        <w:rPr>
          <w:rtl w:val="0"/>
        </w:rPr>
        <w:t xml:space="preserve">: the notification will include:</w:t>
      </w:r>
    </w:p>
    <w:p w:rsidR="00000000" w:rsidDel="00000000" w:rsidP="00000000" w:rsidRDefault="00000000" w:rsidRPr="00000000" w14:paraId="00000094">
      <w:pPr>
        <w:numPr>
          <w:ilvl w:val="0"/>
          <w:numId w:val="5"/>
        </w:numPr>
        <w:spacing w:after="0" w:afterAutospacing="0" w:before="240" w:lineRule="auto"/>
        <w:ind w:left="720" w:hanging="360"/>
      </w:pPr>
      <w:r w:rsidDel="00000000" w:rsidR="00000000" w:rsidRPr="00000000">
        <w:rPr>
          <w:rtl w:val="0"/>
        </w:rPr>
        <w:t xml:space="preserve">an invitation to submit observations on the list of grants affected by the findings and</w:t>
      </w:r>
    </w:p>
    <w:p w:rsidR="00000000" w:rsidDel="00000000" w:rsidP="00000000" w:rsidRDefault="00000000" w:rsidRPr="00000000" w14:paraId="00000095">
      <w:pPr>
        <w:numPr>
          <w:ilvl w:val="0"/>
          <w:numId w:val="5"/>
        </w:numPr>
        <w:spacing w:after="240" w:before="0" w:beforeAutospacing="0" w:lineRule="auto"/>
        <w:ind w:left="720" w:hanging="360"/>
      </w:pPr>
      <w:r w:rsidDel="00000000" w:rsidR="00000000" w:rsidRPr="00000000">
        <w:rPr>
          <w:rtl w:val="0"/>
        </w:rPr>
        <w:t xml:space="preserve">the </w:t>
      </w:r>
      <w:r w:rsidDel="00000000" w:rsidR="00000000" w:rsidRPr="00000000">
        <w:rPr>
          <w:b w:val="1"/>
          <w:rtl w:val="0"/>
        </w:rPr>
        <w:t xml:space="preserve">correction rate for extrapolation</w:t>
      </w:r>
      <w:r w:rsidDel="00000000" w:rsidR="00000000" w:rsidRPr="00000000">
        <w:rPr>
          <w:rtl w:val="0"/>
        </w:rPr>
        <w:t xml:space="preserve">, established on the basis of the systemic or recurrent errors and the principle of proportionality.</w:t>
      </w:r>
    </w:p>
    <w:p w:rsidR="00000000" w:rsidDel="00000000" w:rsidP="00000000" w:rsidRDefault="00000000" w:rsidRPr="00000000" w14:paraId="00000096">
      <w:pPr>
        <w:spacing w:after="240" w:before="240" w:lineRule="auto"/>
        <w:rPr/>
      </w:pPr>
      <w:r w:rsidDel="00000000" w:rsidR="00000000" w:rsidRPr="00000000">
        <w:rPr>
          <w:rtl w:val="0"/>
        </w:rPr>
        <w:t xml:space="preserve">The beneficiary concerned has 60 days from receiving notification to submit observations, revised financial statements or to propose a duly substantiated alternative correction method/rate.</w:t>
      </w:r>
    </w:p>
    <w:p w:rsidR="00000000" w:rsidDel="00000000" w:rsidP="00000000" w:rsidRDefault="00000000" w:rsidRPr="00000000" w14:paraId="00000097">
      <w:pPr>
        <w:spacing w:after="240" w:before="240" w:lineRule="auto"/>
        <w:rPr/>
      </w:pPr>
      <w:r w:rsidDel="00000000" w:rsidR="00000000" w:rsidRPr="00000000">
        <w:rPr>
          <w:rtl w:val="0"/>
        </w:rPr>
        <w:t xml:space="preserve">On the basis of this, the granting authority will analyse the impact and decide on the implementation (i.e. start rejection or grant reduction procedures, either on the basis of the revised financial statements or the announced/alternative method/rate or a mix of those; see Articles 27 and 28).</w:t>
      </w:r>
    </w:p>
    <w:p w:rsidR="00000000" w:rsidDel="00000000" w:rsidP="00000000" w:rsidRDefault="00000000" w:rsidRPr="00000000" w14:paraId="00000098">
      <w:pPr>
        <w:spacing w:after="240" w:before="240" w:lineRule="auto"/>
        <w:rPr>
          <w:b w:val="1"/>
        </w:rPr>
      </w:pPr>
      <w:r w:rsidDel="00000000" w:rsidR="00000000" w:rsidRPr="00000000">
        <w:rPr>
          <w:b w:val="1"/>
          <w:rtl w:val="0"/>
        </w:rPr>
        <w:t xml:space="preserve">25.6 Consequences of non-compliance</w:t>
      </w:r>
    </w:p>
    <w:p w:rsidR="00000000" w:rsidDel="00000000" w:rsidP="00000000" w:rsidRDefault="00000000" w:rsidRPr="00000000" w14:paraId="00000099">
      <w:pPr>
        <w:spacing w:after="240" w:before="240" w:lineRule="auto"/>
        <w:rPr/>
      </w:pPr>
      <w:r w:rsidDel="00000000" w:rsidR="00000000" w:rsidRPr="00000000">
        <w:rPr>
          <w:rtl w:val="0"/>
        </w:rPr>
        <w:t xml:space="preserve">If a beneficiary breaches any of its obligations under this Article, costs or contributions insufficiently substantiated will be ineligible (see Article 6) and will be rejected (see Article 27), and the grant may be reduced (see Article 28).</w:t>
      </w:r>
    </w:p>
    <w:p w:rsidR="00000000" w:rsidDel="00000000" w:rsidP="00000000" w:rsidRDefault="00000000" w:rsidRPr="00000000" w14:paraId="0000009A">
      <w:pPr>
        <w:spacing w:after="240" w:before="240" w:lineRule="auto"/>
        <w:rPr/>
      </w:pPr>
      <w:r w:rsidDel="00000000" w:rsidR="00000000" w:rsidRPr="00000000">
        <w:rPr>
          <w:rtl w:val="0"/>
        </w:rPr>
        <w:t xml:space="preserve">Such breaches may also lead to other measures described in Chapter 5.</w:t>
      </w:r>
    </w:p>
    <w:p w:rsidR="00000000" w:rsidDel="00000000" w:rsidP="00000000" w:rsidRDefault="00000000" w:rsidRPr="00000000" w14:paraId="0000009B">
      <w:pPr>
        <w:spacing w:after="240" w:before="240" w:lineRule="auto"/>
        <w:rPr>
          <w:b w:val="1"/>
        </w:rPr>
      </w:pPr>
      <w:r w:rsidDel="00000000" w:rsidR="00000000" w:rsidRPr="00000000">
        <w:rPr>
          <w:b w:val="1"/>
          <w:rtl w:val="0"/>
        </w:rPr>
        <w:t xml:space="preserve">ARTICLE 26 — IMPACT EVALUATIONS</w:t>
      </w:r>
    </w:p>
    <w:p w:rsidR="00000000" w:rsidDel="00000000" w:rsidP="00000000" w:rsidRDefault="00000000" w:rsidRPr="00000000" w14:paraId="0000009C">
      <w:pPr>
        <w:spacing w:after="240" w:before="240" w:lineRule="auto"/>
        <w:rPr>
          <w:b w:val="1"/>
        </w:rPr>
      </w:pPr>
      <w:r w:rsidDel="00000000" w:rsidR="00000000" w:rsidRPr="00000000">
        <w:rPr>
          <w:b w:val="1"/>
          <w:rtl w:val="0"/>
        </w:rPr>
        <w:t xml:space="preserve">26.1 Impact evaluation</w:t>
      </w:r>
    </w:p>
    <w:p w:rsidR="00000000" w:rsidDel="00000000" w:rsidP="00000000" w:rsidRDefault="00000000" w:rsidRPr="00000000" w14:paraId="0000009D">
      <w:pPr>
        <w:spacing w:after="240" w:before="240" w:lineRule="auto"/>
        <w:rPr/>
      </w:pPr>
      <w:r w:rsidDel="00000000" w:rsidR="00000000" w:rsidRPr="00000000">
        <w:rPr>
          <w:rtl w:val="0"/>
        </w:rPr>
        <w:t xml:space="preserve">The granting authority may carry out impact evaluations of the action, measured against the objectives and indicators of the EU programme funding the grant.</w:t>
      </w:r>
    </w:p>
    <w:p w:rsidR="00000000" w:rsidDel="00000000" w:rsidP="00000000" w:rsidRDefault="00000000" w:rsidRPr="00000000" w14:paraId="0000009E">
      <w:pPr>
        <w:spacing w:after="240" w:before="240" w:lineRule="auto"/>
        <w:rPr/>
      </w:pPr>
      <w:r w:rsidDel="00000000" w:rsidR="00000000" w:rsidRPr="00000000">
        <w:rPr>
          <w:rtl w:val="0"/>
        </w:rPr>
        <w:t xml:space="preserve">Such evaluations may be started during implementation of the action and until the time-limit set out in the Data Sheet (see Point 6). They will be formally notified to the coordinator or beneficiaries and will be considered to start on the date of the notification.</w:t>
      </w:r>
    </w:p>
    <w:p w:rsidR="00000000" w:rsidDel="00000000" w:rsidP="00000000" w:rsidRDefault="00000000" w:rsidRPr="00000000" w14:paraId="0000009F">
      <w:pPr>
        <w:spacing w:after="240" w:before="240" w:lineRule="auto"/>
        <w:rPr/>
      </w:pPr>
      <w:r w:rsidDel="00000000" w:rsidR="00000000" w:rsidRPr="00000000">
        <w:rPr>
          <w:rtl w:val="0"/>
        </w:rPr>
        <w:t xml:space="preserve">If needed, the granting authority may be assisted by independent outside experts.</w:t>
      </w:r>
    </w:p>
    <w:p w:rsidR="00000000" w:rsidDel="00000000" w:rsidP="00000000" w:rsidRDefault="00000000" w:rsidRPr="00000000" w14:paraId="000000A0">
      <w:pPr>
        <w:spacing w:after="240" w:before="240" w:lineRule="auto"/>
        <w:rPr/>
      </w:pPr>
      <w:r w:rsidDel="00000000" w:rsidR="00000000" w:rsidRPr="00000000">
        <w:rPr>
          <w:rtl w:val="0"/>
        </w:rPr>
        <w:t xml:space="preserve">The coordinator or beneficiaries must provide any information relevant to evaluate the impact of the action, including information in electronic format.</w:t>
      </w:r>
    </w:p>
    <w:p w:rsidR="00000000" w:rsidDel="00000000" w:rsidP="00000000" w:rsidRDefault="00000000" w:rsidRPr="00000000" w14:paraId="000000A1">
      <w:pPr>
        <w:spacing w:after="240" w:before="240" w:lineRule="auto"/>
        <w:rPr>
          <w:b w:val="1"/>
        </w:rPr>
      </w:pPr>
      <w:r w:rsidDel="00000000" w:rsidR="00000000" w:rsidRPr="00000000">
        <w:rPr>
          <w:b w:val="1"/>
          <w:rtl w:val="0"/>
        </w:rPr>
        <w:t xml:space="preserve">26.2 Consequences of non-compliance</w:t>
      </w:r>
    </w:p>
    <w:p w:rsidR="00000000" w:rsidDel="00000000" w:rsidP="00000000" w:rsidRDefault="00000000" w:rsidRPr="00000000" w14:paraId="000000A2">
      <w:pPr>
        <w:spacing w:after="240" w:before="240" w:lineRule="auto"/>
        <w:rPr/>
      </w:pPr>
      <w:r w:rsidDel="00000000" w:rsidR="00000000" w:rsidRPr="00000000">
        <w:rPr>
          <w:rtl w:val="0"/>
        </w:rPr>
        <w:t xml:space="preserve">If a beneficiary breaches any of its obligations under this Article, the granting authority may apply the measures described in Chapter 5.</w:t>
      </w:r>
    </w:p>
    <w:p w:rsidR="00000000" w:rsidDel="00000000" w:rsidP="00000000" w:rsidRDefault="00000000" w:rsidRPr="00000000" w14:paraId="000000A3">
      <w:pPr>
        <w:spacing w:after="240" w:before="240" w:lineRule="auto"/>
        <w:rPr>
          <w:b w:val="1"/>
        </w:rPr>
      </w:pPr>
      <w:r w:rsidDel="00000000" w:rsidR="00000000" w:rsidRPr="00000000">
        <w:rPr>
          <w:b w:val="1"/>
          <w:rtl w:val="0"/>
        </w:rPr>
        <w:t xml:space="preserve">ARTICLE 33 — DAMAGES</w:t>
      </w:r>
    </w:p>
    <w:p w:rsidR="00000000" w:rsidDel="00000000" w:rsidP="00000000" w:rsidRDefault="00000000" w:rsidRPr="00000000" w14:paraId="000000A4">
      <w:pPr>
        <w:spacing w:after="240" w:before="240" w:lineRule="auto"/>
        <w:rPr>
          <w:b w:val="1"/>
        </w:rPr>
      </w:pPr>
      <w:r w:rsidDel="00000000" w:rsidR="00000000" w:rsidRPr="00000000">
        <w:rPr>
          <w:b w:val="1"/>
          <w:rtl w:val="0"/>
        </w:rPr>
        <w:t xml:space="preserve">33.1 Liability of the granting authority</w:t>
      </w:r>
    </w:p>
    <w:p w:rsidR="00000000" w:rsidDel="00000000" w:rsidP="00000000" w:rsidRDefault="00000000" w:rsidRPr="00000000" w14:paraId="000000A5">
      <w:pPr>
        <w:spacing w:after="240" w:before="240" w:lineRule="auto"/>
        <w:rPr/>
      </w:pPr>
      <w:r w:rsidDel="00000000" w:rsidR="00000000" w:rsidRPr="00000000">
        <w:rPr>
          <w:rtl w:val="0"/>
        </w:rPr>
        <w:t xml:space="preserve">The granting authority cannot be held liable for any damage caused to the beneficiaries or to third parties as a consequence of the implementation of the Agreement, including for gross negligence.</w:t>
      </w:r>
    </w:p>
    <w:p w:rsidR="00000000" w:rsidDel="00000000" w:rsidP="00000000" w:rsidRDefault="00000000" w:rsidRPr="00000000" w14:paraId="000000A6">
      <w:pPr>
        <w:spacing w:after="240" w:before="240" w:lineRule="auto"/>
        <w:rPr/>
      </w:pPr>
      <w:r w:rsidDel="00000000" w:rsidR="00000000" w:rsidRPr="00000000">
        <w:rPr>
          <w:rtl w:val="0"/>
        </w:rPr>
        <w:t xml:space="preserve">The granting authority cannot be held liable for any damage caused by any of the beneficiaries or other participants involved in the action, as a consequence of the implementation of the Agreement.</w:t>
      </w:r>
    </w:p>
    <w:p w:rsidR="00000000" w:rsidDel="00000000" w:rsidP="00000000" w:rsidRDefault="00000000" w:rsidRPr="00000000" w14:paraId="000000A7">
      <w:pPr>
        <w:spacing w:after="240" w:before="240" w:lineRule="auto"/>
        <w:rPr>
          <w:b w:val="1"/>
        </w:rPr>
      </w:pPr>
      <w:r w:rsidDel="00000000" w:rsidR="00000000" w:rsidRPr="00000000">
        <w:rPr>
          <w:b w:val="1"/>
          <w:rtl w:val="0"/>
        </w:rPr>
        <w:t xml:space="preserve">33.2 Liability of the beneficiaries</w:t>
      </w:r>
    </w:p>
    <w:p w:rsidR="00000000" w:rsidDel="00000000" w:rsidP="00000000" w:rsidRDefault="00000000" w:rsidRPr="00000000" w14:paraId="000000A8">
      <w:pPr>
        <w:spacing w:after="240" w:before="240" w:lineRule="auto"/>
        <w:rPr/>
      </w:pPr>
      <w:r w:rsidDel="00000000" w:rsidR="00000000" w:rsidRPr="00000000">
        <w:rPr>
          <w:rtl w:val="0"/>
        </w:rPr>
        <w:t xml:space="preserve">The beneficiaries must compensate the granting authority for any damage it sustains as a result of the implementation of the action or because the action was not implemented in full compliance with the Agreement, provided that it was caused by gross negligence or willful act.</w:t>
      </w:r>
    </w:p>
    <w:p w:rsidR="00000000" w:rsidDel="00000000" w:rsidP="00000000" w:rsidRDefault="00000000" w:rsidRPr="00000000" w14:paraId="000000A9">
      <w:pPr>
        <w:spacing w:after="240" w:before="240" w:lineRule="auto"/>
        <w:rPr/>
      </w:pPr>
      <w:r w:rsidDel="00000000" w:rsidR="00000000" w:rsidRPr="00000000">
        <w:rPr>
          <w:rtl w:val="0"/>
        </w:rPr>
        <w:t xml:space="preserve">The liability does not extend to indirect or consequential losses or similar damage (such as loss of profit, loss of revenue or loss of contracts), provided such damage was not caused by wilful act or by a breach of confidentiality.</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C">
      <w:pPr>
        <w:spacing w:after="240" w:before="240" w:lineRule="auto"/>
        <w:rPr/>
      </w:pPr>
      <w:r w:rsidDel="00000000" w:rsidR="00000000" w:rsidRPr="00000000">
        <w:rPr>
          <w:rFonts w:ascii="Arial" w:cs="Arial" w:eastAsia="Arial" w:hAnsi="Arial"/>
          <w:rtl w:val="0"/>
        </w:rPr>
        <w:t xml:space="preserve">[1]</w:t>
      </w:r>
      <w:r w:rsidDel="00000000" w:rsidR="00000000" w:rsidRPr="00000000">
        <w:rPr>
          <w:rtl w:val="0"/>
        </w:rPr>
        <w:t xml:space="preserve"> Commission Decision 2015/444/EC, Euratom of 13 March 2015 on the security rules for protecting EU classified information (OJ L 72, 17.3.2015, p. 53).</w:t>
      </w:r>
    </w:p>
    <w:p w:rsidR="00000000" w:rsidDel="00000000" w:rsidP="00000000" w:rsidRDefault="00000000" w:rsidRPr="00000000" w14:paraId="000000AD">
      <w:pPr>
        <w:spacing w:after="240" w:before="240" w:lineRule="auto"/>
        <w:rPr/>
      </w:pPr>
      <w:r w:rsidDel="00000000" w:rsidR="00000000" w:rsidRPr="00000000">
        <w:rPr>
          <w:rFonts w:ascii="Arial" w:cs="Arial" w:eastAsia="Arial" w:hAnsi="Arial"/>
          <w:rtl w:val="0"/>
        </w:rPr>
        <w:t xml:space="preserve">[2]</w:t>
      </w:r>
      <w:r w:rsidDel="00000000" w:rsidR="00000000" w:rsidRPr="00000000">
        <w:rPr>
          <w:rtl w:val="0"/>
        </w:rPr>
        <w:t xml:space="preserve"> Regulation (EU, Euratom) No 883/2013 of the European Parliament and of the Council of 11 September 2013 concerning investigations conducted by the European Anti-Fraud Office (OLAF) and repealing Regulation (EC) No 1073/1999 of the European Parliament and of the Council and Council Regulation (Euratom) No 1074/1999 (OJ L 248, 18/09/2013, p. 1).</w:t>
      </w:r>
    </w:p>
    <w:p w:rsidR="00000000" w:rsidDel="00000000" w:rsidP="00000000" w:rsidRDefault="00000000" w:rsidRPr="00000000" w14:paraId="000000AE">
      <w:pPr>
        <w:spacing w:after="240" w:before="240" w:lineRule="auto"/>
        <w:rPr/>
      </w:pPr>
      <w:r w:rsidDel="00000000" w:rsidR="00000000" w:rsidRPr="00000000">
        <w:rPr>
          <w:rFonts w:ascii="Arial" w:cs="Arial" w:eastAsia="Arial" w:hAnsi="Arial"/>
          <w:rtl w:val="0"/>
        </w:rPr>
        <w:t xml:space="preserve">[3]</w:t>
      </w:r>
      <w:r w:rsidDel="00000000" w:rsidR="00000000" w:rsidRPr="00000000">
        <w:rPr>
          <w:rtl w:val="0"/>
        </w:rPr>
        <w:t xml:space="preserve"> Council Regulation (Euratom, EC) No 2185/96 of 11 November 1996 concerning on-the-spot checks and inspections carried out by the Commission in order to protect the European Communities' financial interests against fraud and other irregularities (OJ L 292, 15/11/1996, p. 2).</w:t>
      </w:r>
    </w:p>
    <w:p w:rsidR="00000000" w:rsidDel="00000000" w:rsidP="00000000" w:rsidRDefault="00000000" w:rsidRPr="00000000" w14:paraId="000000AF">
      <w:pPr>
        <w:rPr>
          <w:b w:val="1"/>
          <w:sz w:val="16"/>
          <w:szCs w:val="16"/>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0" w:footer="14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after="0" w:lineRule="auto"/>
      <w:jc w:val="left"/>
      <w:rPr>
        <w:sz w:val="16"/>
        <w:szCs w:val="16"/>
      </w:rPr>
    </w:pPr>
    <w:r w:rsidDel="00000000" w:rsidR="00000000" w:rsidRPr="00000000">
      <w:rPr>
        <w:rtl w:val="0"/>
      </w:rPr>
    </w:r>
  </w:p>
  <w:tbl>
    <w:tblPr>
      <w:tblStyle w:val="Table1"/>
      <w:tblW w:w="9030.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6215"/>
      <w:gridCol w:w="1645"/>
      <w:gridCol w:w="1170"/>
      <w:tblGridChange w:id="0">
        <w:tblGrid>
          <w:gridCol w:w="6215"/>
          <w:gridCol w:w="1645"/>
          <w:gridCol w:w="1170"/>
        </w:tblGrid>
      </w:tblGridChange>
    </w:tblGrid>
    <w:tr>
      <w:trPr>
        <w:cantSplit w:val="0"/>
        <w:trHeight w:val="249" w:hRule="atLeast"/>
        <w:tblHeader w:val="0"/>
      </w:trPr>
      <w:tc>
        <w:tcPr>
          <w:shd w:fill="023f2e" w:val="clear"/>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rPr>
              <w:b w:val="1"/>
              <w:color w:val="ffffff"/>
              <w:sz w:val="16"/>
              <w:szCs w:val="16"/>
            </w:rPr>
          </w:pPr>
          <w:r w:rsidDel="00000000" w:rsidR="00000000" w:rsidRPr="00000000">
            <w:rPr>
              <w:b w:val="1"/>
              <w:color w:val="ffffff"/>
              <w:sz w:val="16"/>
              <w:szCs w:val="16"/>
              <w:rtl w:val="0"/>
            </w:rPr>
            <w:t xml:space="preserve">ELIAS 1st Open Call_Document 3_ Specific Obligations</w:t>
          </w:r>
          <w:r w:rsidDel="00000000" w:rsidR="00000000" w:rsidRPr="00000000">
            <w:rPr>
              <w:rtl w:val="0"/>
            </w:rPr>
          </w:r>
        </w:p>
      </w:tc>
      <w:tc>
        <w:tcPr>
          <w:shd w:fill="023f2e" w:val="clear"/>
          <w:vAlign w:val="center"/>
        </w:tcPr>
        <w:p w:rsidR="00000000" w:rsidDel="00000000" w:rsidP="00000000" w:rsidRDefault="00000000" w:rsidRPr="00000000" w14:paraId="000000B6">
          <w:pPr>
            <w:jc w:val="right"/>
            <w:rPr>
              <w:b w:val="1"/>
              <w:color w:val="ffffff"/>
              <w:sz w:val="16"/>
              <w:szCs w:val="16"/>
            </w:rPr>
          </w:pPr>
          <w:r w:rsidDel="00000000" w:rsidR="00000000" w:rsidRPr="00000000">
            <w:rPr>
              <w:b w:val="1"/>
              <w:color w:val="ffffff"/>
              <w:sz w:val="16"/>
              <w:szCs w:val="16"/>
              <w:rtl w:val="0"/>
            </w:rPr>
            <w:t xml:space="preserve">www.elias-ai.eu</w:t>
          </w:r>
        </w:p>
      </w:tc>
      <w:tc>
        <w:tcPr>
          <w:shd w:fill="00bf63" w:val="clear"/>
          <w:vAlign w:val="center"/>
        </w:tcPr>
        <w:p w:rsidR="00000000" w:rsidDel="00000000" w:rsidP="00000000" w:rsidRDefault="00000000" w:rsidRPr="00000000" w14:paraId="000000B7">
          <w:pPr>
            <w:jc w:val="right"/>
            <w:rPr>
              <w:b w:val="1"/>
              <w:color w:val="ffffff"/>
              <w:sz w:val="16"/>
              <w:szCs w:val="16"/>
            </w:rPr>
          </w:pPr>
          <w:r w:rsidDel="00000000" w:rsidR="00000000" w:rsidRPr="00000000">
            <w:rPr>
              <w:b w:val="1"/>
              <w:color w:val="ffffff"/>
              <w:sz w:val="16"/>
              <w:szCs w:val="16"/>
              <w:rtl w:val="0"/>
            </w:rPr>
            <w:t xml:space="preserve">Page | </w:t>
          </w:r>
          <w:r w:rsidDel="00000000" w:rsidR="00000000" w:rsidRPr="00000000">
            <w:rPr>
              <w:b w:val="1"/>
              <w:color w:val="ffffff"/>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jc w:val="right"/>
      <w:rPr>
        <w:b w:val="1"/>
        <w:color w:val="00bf63"/>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rPr>
        <w:i w:val="1"/>
        <w:sz w:val="16"/>
        <w:szCs w:val="16"/>
      </w:rPr>
    </w:pPr>
    <w:r w:rsidDel="00000000" w:rsidR="00000000" w:rsidRPr="00000000">
      <w:rPr>
        <w:i w:val="1"/>
        <w:sz w:val="16"/>
        <w:szCs w:val="16"/>
        <w:rtl w:val="0"/>
      </w:rPr>
      <w:t xml:space="preserve">This project has received funding from the European Union's Horizon Europe research and innovation programme under grant agreement No. 101120237.</w:t>
    </w:r>
    <w:r w:rsidDel="00000000" w:rsidR="00000000" w:rsidRPr="00000000">
      <w:drawing>
        <wp:anchor allowOverlap="1" behindDoc="0" distB="0" distT="0" distL="114300" distR="114300" hidden="0" layoutInCell="1" locked="0" relativeHeight="0" simplePos="0">
          <wp:simplePos x="0" y="0"/>
          <wp:positionH relativeFrom="column">
            <wp:posOffset>57161</wp:posOffset>
          </wp:positionH>
          <wp:positionV relativeFrom="paragraph">
            <wp:posOffset>-8771</wp:posOffset>
          </wp:positionV>
          <wp:extent cx="1392555" cy="309245"/>
          <wp:effectExtent b="0" l="0" r="0" t="0"/>
          <wp:wrapSquare wrapText="bothSides" distB="0" distT="0" distL="114300" distR="114300"/>
          <wp:docPr descr="A black background with blue text&#10;&#10;Description automatically generated" id="1146486611" name="image2.png"/>
          <a:graphic>
            <a:graphicData uri="http://schemas.openxmlformats.org/drawingml/2006/picture">
              <pic:pic>
                <pic:nvPicPr>
                  <pic:cNvPr descr="A black background with blue text&#10;&#10;Description automatically generated" id="0" name="image2.png"/>
                  <pic:cNvPicPr preferRelativeResize="0"/>
                </pic:nvPicPr>
                <pic:blipFill>
                  <a:blip r:embed="rId1"/>
                  <a:srcRect b="0" l="0" r="0" t="0"/>
                  <a:stretch>
                    <a:fillRect/>
                  </a:stretch>
                </pic:blipFill>
                <pic:spPr>
                  <a:xfrm>
                    <a:off x="0" y="0"/>
                    <a:ext cx="1392555" cy="309245"/>
                  </a:xfrm>
                  <a:prstGeom prst="rect"/>
                  <a:ln/>
                </pic:spPr>
              </pic:pic>
            </a:graphicData>
          </a:graphic>
        </wp:anchor>
      </w:drawing>
    </w:r>
  </w:p>
  <w:p w:rsidR="00000000" w:rsidDel="00000000" w:rsidP="00000000" w:rsidRDefault="00000000" w:rsidRPr="00000000" w14:paraId="000000BA">
    <w:pPr>
      <w:jc w:val="right"/>
      <w:rPr>
        <w:i w:val="1"/>
        <w:sz w:val="16"/>
        <w:szCs w:val="16"/>
      </w:rPr>
    </w:pPr>
    <w:r w:rsidDel="00000000" w:rsidR="00000000" w:rsidRPr="00000000">
      <w:rPr>
        <w:rtl w:val="0"/>
      </w:rPr>
    </w:r>
  </w:p>
  <w:p w:rsidR="00000000" w:rsidDel="00000000" w:rsidP="00000000" w:rsidRDefault="00000000" w:rsidRPr="00000000" w14:paraId="000000BB">
    <w:pPr>
      <w:jc w:val="right"/>
      <w:rPr>
        <w:i w:val="1"/>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bookmarkStart w:colFirst="0" w:colLast="0" w:name="_heading=h.1ci93xb" w:id="2"/>
    <w:bookmarkEnd w:id="2"/>
    <w:r w:rsidDel="00000000" w:rsidR="00000000" w:rsidRPr="00000000">
      <w:rPr>
        <w:color w:val="000000"/>
      </w:rPr>
      <w:drawing>
        <wp:anchor allowOverlap="1" behindDoc="0" distB="0" distT="0" distL="114300" distR="114300" hidden="0" layoutInCell="1" locked="0" relativeHeight="0" simplePos="0">
          <wp:simplePos x="0" y="0"/>
          <wp:positionH relativeFrom="margin">
            <wp:posOffset>5162550</wp:posOffset>
          </wp:positionH>
          <wp:positionV relativeFrom="page">
            <wp:posOffset>276225</wp:posOffset>
          </wp:positionV>
          <wp:extent cx="647065" cy="295275"/>
          <wp:effectExtent b="0" l="0" r="0" t="0"/>
          <wp:wrapTopAndBottom distB="0" distT="0"/>
          <wp:docPr descr="A logo with green and blue circles&#10;&#10;Description automatically generated" id="1146486612" name="image1.png"/>
          <a:graphic>
            <a:graphicData uri="http://schemas.openxmlformats.org/drawingml/2006/picture">
              <pic:pic>
                <pic:nvPicPr>
                  <pic:cNvPr descr="A logo with green and blue circles&#10;&#10;Description automatically generated" id="0" name="image1.png"/>
                  <pic:cNvPicPr preferRelativeResize="0"/>
                </pic:nvPicPr>
                <pic:blipFill>
                  <a:blip r:embed="rId1"/>
                  <a:srcRect b="0" l="0" r="0" t="0"/>
                  <a:stretch>
                    <a:fillRect/>
                  </a:stretch>
                </pic:blipFill>
                <pic:spPr>
                  <a:xfrm>
                    <a:off x="0" y="0"/>
                    <a:ext cx="647065" cy="29527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247650</wp:posOffset>
          </wp:positionV>
          <wp:extent cx="1419225" cy="340360"/>
          <wp:effectExtent b="0" l="0" r="0" t="0"/>
          <wp:wrapTopAndBottom distB="0" distT="0"/>
          <wp:docPr descr="A black background with blue text&#10;&#10;Description automatically generated" id="1146486610" name="image2.png"/>
          <a:graphic>
            <a:graphicData uri="http://schemas.openxmlformats.org/drawingml/2006/picture">
              <pic:pic>
                <pic:nvPicPr>
                  <pic:cNvPr descr="A black background with blue text&#10;&#10;Description automatically generated" id="0" name="image2.png"/>
                  <pic:cNvPicPr preferRelativeResize="0"/>
                </pic:nvPicPr>
                <pic:blipFill>
                  <a:blip r:embed="rId2"/>
                  <a:srcRect b="0" l="0" r="0" t="0"/>
                  <a:stretch>
                    <a:fillRect/>
                  </a:stretch>
                </pic:blipFill>
                <pic:spPr>
                  <a:xfrm>
                    <a:off x="0" y="0"/>
                    <a:ext cx="1419225" cy="34036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mc:AlternateContent>
        <mc:Choice Requires="wpg">
          <w:drawing>
            <wp:anchor allowOverlap="1" behindDoc="0" distB="45720" distT="45720" distL="114300" distR="114300" hidden="0" layoutInCell="1" locked="0" relativeHeight="0" simplePos="0">
              <wp:simplePos x="0" y="0"/>
              <wp:positionH relativeFrom="margin">
                <wp:posOffset>4657727</wp:posOffset>
              </wp:positionH>
              <wp:positionV relativeFrom="page">
                <wp:posOffset>269879</wp:posOffset>
              </wp:positionV>
              <wp:extent cx="1103630" cy="312420"/>
              <wp:effectExtent b="0" l="0" r="0" t="0"/>
              <wp:wrapTopAndBottom distB="45720" distT="45720"/>
              <wp:docPr id="1146486604" name=""/>
              <a:graphic>
                <a:graphicData uri="http://schemas.microsoft.com/office/word/2010/wordprocessingShape">
                  <wps:wsp>
                    <wps:cNvSpPr/>
                    <wps:cNvPr id="3" name="Shape 3"/>
                    <wps:spPr>
                      <a:xfrm>
                        <a:off x="4841810" y="3671415"/>
                        <a:ext cx="1008380" cy="21717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23f2e"/>
                              <w:sz w:val="16"/>
                              <w:vertAlign w:val="baseline"/>
                            </w:rPr>
                            <w:t xml:space="preserve">www.elias-ai.eu</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margin">
                <wp:posOffset>4657727</wp:posOffset>
              </wp:positionH>
              <wp:positionV relativeFrom="page">
                <wp:posOffset>269879</wp:posOffset>
              </wp:positionV>
              <wp:extent cx="1103630" cy="312420"/>
              <wp:effectExtent b="0" l="0" r="0" t="0"/>
              <wp:wrapTopAndBottom distB="45720" distT="45720"/>
              <wp:docPr id="1146486604"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103630" cy="312420"/>
                      </a:xfrm>
                      <a:prstGeom prst="rect"/>
                      <a:ln/>
                    </pic:spPr>
                  </pic:pic>
                </a:graphicData>
              </a:graphic>
            </wp:anchor>
          </w:drawing>
        </mc:Fallback>
      </mc:AlternateContent>
    </w:r>
    <w:r w:rsidDel="00000000" w:rsidR="00000000" w:rsidRPr="00000000">
      <w:rPr>
        <w:color w:val="000000"/>
      </w:rPr>
      <w:drawing>
        <wp:anchor allowOverlap="1" behindDoc="0" distB="0" distT="0" distL="114300" distR="114300" hidden="0" layoutInCell="1" locked="0" relativeHeight="0" simplePos="0">
          <wp:simplePos x="0" y="0"/>
          <wp:positionH relativeFrom="margin">
            <wp:align>left</wp:align>
          </wp:positionH>
          <wp:positionV relativeFrom="page">
            <wp:posOffset>312420</wp:posOffset>
          </wp:positionV>
          <wp:extent cx="619125" cy="278130"/>
          <wp:effectExtent b="0" l="0" r="0" t="0"/>
          <wp:wrapTopAndBottom distB="0" distT="0"/>
          <wp:docPr descr="A logo with green and blue circles&#10;&#10;Description automatically generated" id="1146486609" name="image1.png"/>
          <a:graphic>
            <a:graphicData uri="http://schemas.openxmlformats.org/drawingml/2006/picture">
              <pic:pic>
                <pic:nvPicPr>
                  <pic:cNvPr descr="A logo with green and blue circles&#10;&#10;Description automatically generated" id="0" name="image1.png"/>
                  <pic:cNvPicPr preferRelativeResize="0"/>
                </pic:nvPicPr>
                <pic:blipFill>
                  <a:blip r:embed="rId2"/>
                  <a:srcRect b="0" l="0" r="0" t="0"/>
                  <a:stretch>
                    <a:fillRect/>
                  </a:stretch>
                </pic:blipFill>
                <pic:spPr>
                  <a:xfrm>
                    <a:off x="0" y="0"/>
                    <a:ext cx="619125" cy="278130"/>
                  </a:xfrm>
                  <a:prstGeom prst="rect"/>
                  <a:ln/>
                </pic:spPr>
              </pic:pic>
            </a:graphicData>
          </a:graphic>
        </wp:anchor>
      </w:drawing>
    </w:r>
    <w:r w:rsidDel="00000000" w:rsidR="00000000" w:rsidRPr="00000000">
      <w:rPr>
        <w:color w:val="000000"/>
      </w:rPr>
      <mc:AlternateContent>
        <mc:Choice Requires="wpg">
          <w:drawing>
            <wp:anchor allowOverlap="1" behindDoc="0" distB="45720" distT="45720" distL="114300" distR="114300" hidden="0" layoutInCell="1" locked="0" relativeHeight="0" simplePos="0">
              <wp:simplePos x="0" y="0"/>
              <wp:positionH relativeFrom="margin">
                <wp:align>center</wp:align>
              </wp:positionH>
              <wp:positionV relativeFrom="page">
                <wp:posOffset>269879</wp:posOffset>
              </wp:positionV>
              <wp:extent cx="2923540" cy="312420"/>
              <wp:effectExtent b="0" l="0" r="0" t="0"/>
              <wp:wrapTopAndBottom distB="45720" distT="45720"/>
              <wp:docPr id="1146486603" name=""/>
              <a:graphic>
                <a:graphicData uri="http://schemas.microsoft.com/office/word/2010/wordprocessingShape">
                  <wps:wsp>
                    <wps:cNvSpPr/>
                    <wps:cNvPr id="2" name="Shape 2"/>
                    <wps:spPr>
                      <a:xfrm>
                        <a:off x="3931855" y="3671415"/>
                        <a:ext cx="2828290" cy="21717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23f2e"/>
                              <w:sz w:val="16"/>
                              <w:vertAlign w:val="baseline"/>
                            </w:rPr>
                            <w:t xml:space="preserve">101120237 — ELIAS — HORIZON-CL4-2022-HUMAN-02</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margin">
                <wp:align>center</wp:align>
              </wp:positionH>
              <wp:positionV relativeFrom="page">
                <wp:posOffset>269879</wp:posOffset>
              </wp:positionV>
              <wp:extent cx="2923540" cy="312420"/>
              <wp:effectExtent b="0" l="0" r="0" t="0"/>
              <wp:wrapTopAndBottom distB="45720" distT="45720"/>
              <wp:docPr id="1146486603"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923540" cy="31242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oppins" w:cs="Poppins" w:eastAsia="Poppins" w:hAnsi="Poppins"/>
        <w:lang w:val="en_GB"/>
      </w:rPr>
    </w:rPrDefault>
    <w:pPrDefault>
      <w:pPr>
        <w:spacing w:after="20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hd w:fill="023f2e" w:val="clear"/>
      <w:spacing w:after="120" w:before="120" w:lineRule="auto"/>
      <w:jc w:val="left"/>
    </w:pPr>
    <w:rPr>
      <w:b w:val="1"/>
      <w:color w:val="ffffff"/>
      <w:sz w:val="24"/>
      <w:szCs w:val="24"/>
    </w:rPr>
  </w:style>
  <w:style w:type="paragraph" w:styleId="Heading2">
    <w:name w:val="heading 2"/>
    <w:basedOn w:val="Normal"/>
    <w:next w:val="Normal"/>
    <w:pPr>
      <w:shd w:fill="00bf63" w:val="clear"/>
      <w:spacing w:after="120" w:before="120" w:lineRule="auto"/>
      <w:jc w:val="left"/>
    </w:pPr>
    <w:rPr>
      <w:b w:val="1"/>
      <w:sz w:val="24"/>
      <w:szCs w:val="24"/>
    </w:rPr>
  </w:style>
  <w:style w:type="paragraph" w:styleId="Heading3">
    <w:name w:val="heading 3"/>
    <w:basedOn w:val="Normal"/>
    <w:next w:val="Normal"/>
    <w:pPr>
      <w:spacing w:after="120" w:before="120" w:lineRule="auto"/>
      <w:jc w:val="left"/>
    </w:pPr>
    <w:rPr>
      <w:b w:val="1"/>
      <w:sz w:val="22"/>
      <w:szCs w:val="22"/>
    </w:rPr>
  </w:style>
  <w:style w:type="paragraph" w:styleId="Heading4">
    <w:name w:val="heading 4"/>
    <w:basedOn w:val="Normal"/>
    <w:next w:val="Normal"/>
    <w:pPr>
      <w:spacing w:after="120" w:before="120" w:lineRule="auto"/>
      <w:jc w:val="left"/>
    </w:pPr>
    <w:rPr>
      <w:b w:val="1"/>
      <w:i w:val="1"/>
    </w:rPr>
  </w:style>
  <w:style w:type="paragraph" w:styleId="Heading5">
    <w:name w:val="heading 5"/>
    <w:basedOn w:val="Normal"/>
    <w:next w:val="Normal"/>
    <w:pPr>
      <w:spacing w:after="0" w:lineRule="auto"/>
      <w:jc w:val="left"/>
    </w:pPr>
    <w:rPr>
      <w:smallCaps w:val="1"/>
      <w:color w:val="008f4a"/>
      <w:sz w:val="22"/>
      <w:szCs w:val="22"/>
    </w:rPr>
  </w:style>
  <w:style w:type="paragraph" w:styleId="Heading6">
    <w:name w:val="heading 6"/>
    <w:basedOn w:val="Normal"/>
    <w:next w:val="Normal"/>
    <w:pPr>
      <w:spacing w:after="0" w:lineRule="auto"/>
      <w:jc w:val="left"/>
    </w:pPr>
    <w:rPr>
      <w:smallCaps w:val="1"/>
      <w:color w:val="00bf63"/>
      <w:sz w:val="22"/>
      <w:szCs w:val="22"/>
    </w:rPr>
  </w:style>
  <w:style w:type="paragraph" w:styleId="Title">
    <w:name w:val="Title"/>
    <w:basedOn w:val="Normal"/>
    <w:next w:val="Normal"/>
    <w:pPr>
      <w:pBdr>
        <w:top w:color="00bf63" w:space="1" w:sz="8" w:val="single"/>
      </w:pBdr>
      <w:spacing w:after="120" w:line="240" w:lineRule="auto"/>
      <w:jc w:val="right"/>
    </w:pPr>
    <w:rPr>
      <w:b w:val="1"/>
      <w:color w:val="262626"/>
      <w:sz w:val="36"/>
      <w:szCs w:val="36"/>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0"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1"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2"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3"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4"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2Vert">
      <w:tblPr/>
      <w:tcPr>
        <w:shd w:color="auto" w:fill="d9d9d9" w:val="clear"/>
      </w:tcPr>
    </w:tblStylePr>
  </w:style>
  <w:style w:type="table" w:styleId="a5"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6"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b w:val="1"/>
      </w:rPr>
      <w:tblPr/>
      <w:tcPr>
        <w:shd w:color="auto" w:fill="023f2e" w:val="clear"/>
      </w:tcPr>
    </w:tblStylePr>
    <w:tblStylePr w:type="firstCol">
      <w:rPr>
        <w:b w:val="1"/>
      </w:rPr>
      <w:tblPr/>
      <w:tcPr>
        <w:shd w:color="auto" w:fill="00bf63" w:val="clear"/>
      </w:tcPr>
    </w:tblStylePr>
    <w:tblStylePr w:type="nwCell">
      <w:tblPr/>
      <w:tcPr>
        <w:tcBorders>
          <w:top w:space="0" w:sz="0" w:val="nil"/>
          <w:left w:space="0" w:sz="0" w:val="nil"/>
          <w:bottom w:space="0" w:sz="0" w:val="nil"/>
          <w:right w:space="0" w:sz="0" w:val="nil"/>
          <w:insideH w:space="0" w:sz="0" w:val="nil"/>
          <w:insideV w:space="0" w:sz="0" w:val="nil"/>
        </w:tcBorders>
        <w:shd w:color="auto" w:fill="f5f5f5" w:val="clear"/>
      </w:tcPr>
    </w:tblStylePr>
  </w:style>
  <w:style w:type="table" w:styleId="a7"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8" w:customStyle="1">
    <w:basedOn w:val="TableNormal"/>
    <w:pPr>
      <w:spacing w:after="0" w:line="240" w:lineRule="auto"/>
      <w:jc w:val="left"/>
    </w:pPr>
    <w:tblPr>
      <w:tblStyleRowBandSize w:val="1"/>
      <w:tblStyleColBandSize w:val="1"/>
      <w:tblCellMar>
        <w:left w:w="115.0" w:type="dxa"/>
        <w:right w:w="115.0" w:type="dxa"/>
      </w:tblCellMar>
    </w:tblPr>
    <w:tcPr>
      <w:shd w:color="auto" w:fill="d9d9d9" w:val="clear"/>
    </w:tcPr>
  </w:style>
  <w:style w:type="paragraph" w:styleId="CommentText">
    <w:name w:val="annotation text"/>
    <w:basedOn w:val="Normal"/>
    <w:link w:val="CommentTextChar"/>
    <w:uiPriority w:val="99"/>
    <w:unhideWhenUsed w:val="1"/>
    <w:pPr>
      <w:spacing w:line="240" w:lineRule="auto"/>
    </w:pPr>
  </w:style>
  <w:style w:type="character" w:styleId="CommentTextChar" w:customStyle="1">
    <w:name w:val="Comment Text Char"/>
    <w:basedOn w:val="DefaultParagraphFont"/>
    <w:link w:val="CommentText"/>
    <w:uiPriority w:val="99"/>
  </w:style>
  <w:style w:type="character" w:styleId="CommentReference">
    <w:name w:val="annotation reference"/>
    <w:basedOn w:val="DefaultParagraphFont"/>
    <w:uiPriority w:val="99"/>
    <w:semiHidden w:val="1"/>
    <w:unhideWhenUsed w:val="1"/>
    <w:rPr>
      <w:sz w:val="16"/>
      <w:szCs w:val="16"/>
    </w:rPr>
  </w:style>
  <w:style w:type="paragraph" w:styleId="TOC1">
    <w:name w:val="toc 1"/>
    <w:basedOn w:val="Normal"/>
    <w:next w:val="Normal"/>
    <w:autoRedefine w:val="1"/>
    <w:uiPriority w:val="39"/>
    <w:unhideWhenUsed w:val="1"/>
    <w:rsid w:val="00FE4D34"/>
    <w:pPr>
      <w:spacing w:after="100"/>
    </w:pPr>
    <w:rPr>
      <w:b w:val="1"/>
    </w:rPr>
  </w:style>
  <w:style w:type="paragraph" w:styleId="TOC2">
    <w:name w:val="toc 2"/>
    <w:basedOn w:val="Normal"/>
    <w:next w:val="Normal"/>
    <w:autoRedefine w:val="1"/>
    <w:uiPriority w:val="39"/>
    <w:unhideWhenUsed w:val="1"/>
    <w:rsid w:val="00FE4D34"/>
    <w:pPr>
      <w:spacing w:after="100"/>
      <w:ind w:left="200"/>
    </w:pPr>
  </w:style>
  <w:style w:type="paragraph" w:styleId="TOC3">
    <w:name w:val="toc 3"/>
    <w:basedOn w:val="Normal"/>
    <w:next w:val="Normal"/>
    <w:autoRedefine w:val="1"/>
    <w:uiPriority w:val="39"/>
    <w:unhideWhenUsed w:val="1"/>
    <w:rsid w:val="00FE4D34"/>
    <w:pPr>
      <w:spacing w:after="100"/>
      <w:ind w:left="400"/>
    </w:pPr>
  </w:style>
  <w:style w:type="character" w:styleId="Hyperlink">
    <w:name w:val="Hyperlink"/>
    <w:basedOn w:val="DefaultParagraphFont"/>
    <w:uiPriority w:val="99"/>
    <w:unhideWhenUsed w:val="1"/>
    <w:rsid w:val="00FE4D34"/>
    <w:rPr>
      <w:color w:val="034b92" w:themeColor="hyperlink"/>
      <w:u w:val="single"/>
    </w:rPr>
  </w:style>
  <w:style w:type="paragraph" w:styleId="Caption">
    <w:name w:val="caption"/>
    <w:basedOn w:val="Normal"/>
    <w:next w:val="Normal"/>
    <w:uiPriority w:val="35"/>
    <w:unhideWhenUsed w:val="1"/>
    <w:qFormat w:val="1"/>
    <w:rsid w:val="00FE4D34"/>
    <w:pPr>
      <w:pBdr>
        <w:top w:space="0" w:sz="0" w:val="nil"/>
        <w:left w:space="0" w:sz="0" w:val="nil"/>
        <w:bottom w:space="0" w:sz="0" w:val="nil"/>
        <w:right w:space="0" w:sz="0" w:val="nil"/>
        <w:between w:space="0" w:sz="0" w:val="nil"/>
      </w:pBdr>
      <w:spacing w:after="120" w:before="120" w:line="240" w:lineRule="auto"/>
      <w:jc w:val="center"/>
    </w:pPr>
    <w:rPr>
      <w:b w:val="1"/>
      <w:color w:val="000000"/>
      <w:sz w:val="16"/>
      <w:szCs w:val="16"/>
    </w:rPr>
  </w:style>
  <w:style w:type="paragraph" w:styleId="TOC4">
    <w:name w:val="toc 4"/>
    <w:basedOn w:val="Normal"/>
    <w:next w:val="Normal"/>
    <w:autoRedefine w:val="1"/>
    <w:uiPriority w:val="39"/>
    <w:unhideWhenUsed w:val="1"/>
    <w:rsid w:val="00FE4D34"/>
    <w:pPr>
      <w:spacing w:after="100"/>
      <w:ind w:left="600"/>
    </w:pPr>
  </w:style>
  <w:style w:type="paragraph" w:styleId="TableofFigures">
    <w:name w:val="table of figures"/>
    <w:basedOn w:val="Normal"/>
    <w:next w:val="Normal"/>
    <w:uiPriority w:val="99"/>
    <w:unhideWhenUsed w:val="1"/>
    <w:rsid w:val="00FE4D34"/>
    <w:pPr>
      <w:spacing w:after="0"/>
    </w:pPr>
    <w:rPr>
      <w:i w:val="1"/>
    </w:rPr>
  </w:style>
  <w:style w:type="paragraph" w:styleId="ListParagraph">
    <w:name w:val="List Paragraph"/>
    <w:basedOn w:val="Normal"/>
    <w:uiPriority w:val="34"/>
    <w:qFormat w:val="1"/>
    <w:rsid w:val="008147E8"/>
    <w:pPr>
      <w:ind w:left="720"/>
      <w:contextualSpacing w:val="1"/>
    </w:pPr>
  </w:style>
  <w:style w:type="paragraph" w:styleId="NormalWeb">
    <w:name w:val="Normal (Web)"/>
    <w:basedOn w:val="Normal"/>
    <w:uiPriority w:val="99"/>
    <w:semiHidden w:val="1"/>
    <w:unhideWhenUsed w:val="1"/>
    <w:rsid w:val="00AA7DB5"/>
    <w:rPr>
      <w:rFonts w:ascii="Times New Roman" w:cs="Times New Roman" w:hAnsi="Times New Roman"/>
      <w:sz w:val="24"/>
      <w:szCs w:val="24"/>
    </w:rPr>
  </w:style>
  <w:style w:type="character" w:styleId="Strong">
    <w:name w:val="Strong"/>
    <w:basedOn w:val="DefaultParagraphFont"/>
    <w:uiPriority w:val="22"/>
    <w:qFormat w:val="1"/>
    <w:rsid w:val="00092EE8"/>
    <w:rPr>
      <w:b w:val="1"/>
      <w:bCs w:val="1"/>
    </w:rPr>
  </w:style>
  <w:style w:type="table" w:styleId="GridTable5Dark-Accent4">
    <w:name w:val="Grid Table 5 Dark Accent 4"/>
    <w:basedOn w:val="TableNormal"/>
    <w:uiPriority w:val="50"/>
    <w:rsid w:val="00090B0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baf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a77a"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a77a"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a77a"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a77a" w:themeFill="accent4" w:val="clear"/>
      </w:tcPr>
    </w:tblStylePr>
    <w:tblStylePr w:type="band1Vert">
      <w:tblPr/>
      <w:tcPr>
        <w:shd w:color="auto" w:fill="75ffd9" w:themeFill="accent4" w:themeFillTint="000066" w:val="clear"/>
      </w:tcPr>
    </w:tblStylePr>
    <w:tblStylePr w:type="band1Horz">
      <w:tblPr/>
      <w:tcPr>
        <w:shd w:color="auto" w:fill="75ffd9" w:themeFill="accent4" w:themeFillTint="000066" w:val="clear"/>
      </w:tcPr>
    </w:tblStylePr>
  </w:style>
  <w:style w:type="table" w:styleId="GridTable4-Accent2">
    <w:name w:val="Grid Table 4 Accent 2"/>
    <w:basedOn w:val="TableNormal"/>
    <w:uiPriority w:val="49"/>
    <w:rsid w:val="00090B06"/>
    <w:pPr>
      <w:spacing w:after="0" w:line="240" w:lineRule="auto"/>
    </w:pPr>
    <w:tblPr>
      <w:tblStyleRowBandSize w:val="1"/>
      <w:tblStyleColBandSize w:val="1"/>
      <w:tblBorders>
        <w:top w:color="3fffa2" w:space="0" w:sz="4" w:themeColor="accent2" w:themeTint="000099" w:val="single"/>
        <w:left w:color="3fffa2" w:space="0" w:sz="4" w:themeColor="accent2" w:themeTint="000099" w:val="single"/>
        <w:bottom w:color="3fffa2" w:space="0" w:sz="4" w:themeColor="accent2" w:themeTint="000099" w:val="single"/>
        <w:right w:color="3fffa2" w:space="0" w:sz="4" w:themeColor="accent2" w:themeTint="000099" w:val="single"/>
        <w:insideH w:color="3fffa2" w:space="0" w:sz="4" w:themeColor="accent2" w:themeTint="000099" w:val="single"/>
        <w:insideV w:color="3fffa2" w:space="0" w:sz="4" w:themeColor="accent2" w:themeTint="000099" w:val="single"/>
      </w:tblBorders>
    </w:tblPr>
    <w:tblStylePr w:type="firstRow">
      <w:rPr>
        <w:b w:val="1"/>
        <w:bCs w:val="1"/>
        <w:color w:val="ffffff" w:themeColor="background1"/>
      </w:rPr>
      <w:tblPr/>
      <w:tcPr>
        <w:tcBorders>
          <w:top w:color="00bf63" w:space="0" w:sz="4" w:themeColor="accent2" w:val="single"/>
          <w:left w:color="00bf63" w:space="0" w:sz="4" w:themeColor="accent2" w:val="single"/>
          <w:bottom w:color="00bf63" w:space="0" w:sz="4" w:themeColor="accent2" w:val="single"/>
          <w:right w:color="00bf63" w:space="0" w:sz="4" w:themeColor="accent2" w:val="single"/>
          <w:insideH w:space="0" w:sz="0" w:val="nil"/>
          <w:insideV w:space="0" w:sz="0" w:val="nil"/>
        </w:tcBorders>
        <w:shd w:color="auto" w:fill="00bf63" w:themeFill="accent2" w:val="clear"/>
      </w:tcPr>
    </w:tblStylePr>
    <w:tblStylePr w:type="lastRow">
      <w:rPr>
        <w:b w:val="1"/>
        <w:bCs w:val="1"/>
      </w:rPr>
      <w:tblPr/>
      <w:tcPr>
        <w:tcBorders>
          <w:top w:color="00bf63" w:space="0" w:sz="4" w:themeColor="accent2" w:val="double"/>
        </w:tcBorders>
      </w:tcPr>
    </w:tblStylePr>
    <w:tblStylePr w:type="firstCol">
      <w:rPr>
        <w:b w:val="1"/>
        <w:bCs w:val="1"/>
      </w:rPr>
    </w:tblStylePr>
    <w:tblStylePr w:type="lastCol">
      <w:rPr>
        <w:b w:val="1"/>
        <w:bCs w:val="1"/>
      </w:rPr>
    </w:tblStylePr>
    <w:tblStylePr w:type="band1Vert">
      <w:tblPr/>
      <w:tcPr>
        <w:shd w:color="auto" w:fill="bfffe0" w:themeFill="accent2" w:themeFillTint="000033" w:val="clear"/>
      </w:tcPr>
    </w:tblStylePr>
    <w:tblStylePr w:type="band1Horz">
      <w:tblPr/>
      <w:tcPr>
        <w:shd w:color="auto" w:fill="bfffe0" w:themeFill="accent2" w:themeFillTint="000033" w:val="clear"/>
      </w:tcPr>
    </w:tblStylePr>
  </w:style>
  <w:style w:type="table" w:styleId="TableGrid">
    <w:name w:val="Table Grid"/>
    <w:aliases w:val="ELIAS Style 1"/>
    <w:basedOn w:val="TableNormal"/>
    <w:uiPriority w:val="39"/>
    <w:rsid w:val="00A7530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A7530F"/>
    <w:rPr>
      <w:color w:val="605e5c"/>
      <w:shd w:color="auto" w:fill="e1dfdd" w:val="clear"/>
    </w:rPr>
  </w:style>
  <w:style w:type="paragraph" w:styleId="FootnoteText">
    <w:name w:val="footnote text"/>
    <w:basedOn w:val="Normal"/>
    <w:link w:val="FootnoteTextChar"/>
    <w:uiPriority w:val="99"/>
    <w:semiHidden w:val="1"/>
    <w:unhideWhenUsed w:val="1"/>
    <w:rsid w:val="00356134"/>
    <w:pPr>
      <w:spacing w:after="0" w:line="240" w:lineRule="auto"/>
    </w:pPr>
  </w:style>
  <w:style w:type="character" w:styleId="FootnoteTextChar" w:customStyle="1">
    <w:name w:val="Footnote Text Char"/>
    <w:basedOn w:val="DefaultParagraphFont"/>
    <w:link w:val="FootnoteText"/>
    <w:uiPriority w:val="99"/>
    <w:semiHidden w:val="1"/>
    <w:rsid w:val="00356134"/>
  </w:style>
  <w:style w:type="character" w:styleId="FootnoteReference">
    <w:name w:val="footnote reference"/>
    <w:basedOn w:val="DefaultParagraphFont"/>
    <w:uiPriority w:val="99"/>
    <w:semiHidden w:val="1"/>
    <w:unhideWhenUsed w:val="1"/>
    <w:rsid w:val="00356134"/>
    <w:rPr>
      <w:vertAlign w:val="superscript"/>
    </w:rPr>
  </w:style>
  <w:style w:type="paragraph" w:styleId="Footnote" w:customStyle="1">
    <w:name w:val="Footnote"/>
    <w:basedOn w:val="FootnoteText"/>
    <w:link w:val="FootnoteChar"/>
    <w:qFormat w:val="1"/>
    <w:rsid w:val="00356134"/>
    <w:rPr>
      <w:i w:val="1"/>
      <w:iCs w:val="1"/>
      <w:sz w:val="18"/>
      <w:szCs w:val="18"/>
    </w:rPr>
  </w:style>
  <w:style w:type="character" w:styleId="FootnoteChar" w:customStyle="1">
    <w:name w:val="Footnote Char"/>
    <w:basedOn w:val="FootnoteTextChar"/>
    <w:link w:val="Footnote"/>
    <w:rsid w:val="00356134"/>
    <w:rPr>
      <w:i w:val="1"/>
      <w:iCs w:val="1"/>
      <w:sz w:val="18"/>
      <w:szCs w:val="18"/>
    </w:rPr>
  </w:style>
  <w:style w:type="paragraph" w:styleId="Styleforcircles" w:customStyle="1">
    <w:name w:val="Style for circles"/>
    <w:basedOn w:val="Normal"/>
    <w:link w:val="StyleforcirclesChar"/>
    <w:qFormat w:val="1"/>
    <w:rsid w:val="00531AE6"/>
    <w:pPr>
      <w:jc w:val="center"/>
    </w:pPr>
    <w:rPr>
      <w:b w:val="1"/>
      <w:bCs w:val="1"/>
      <w:color w:val="ffffff" w:themeColor="background1"/>
    </w:rPr>
  </w:style>
  <w:style w:type="character" w:styleId="StyleforcirclesChar" w:customStyle="1">
    <w:name w:val="Style for circles Char"/>
    <w:basedOn w:val="DefaultParagraphFont"/>
    <w:link w:val="Styleforcircles"/>
    <w:rsid w:val="00531AE6"/>
    <w:rPr>
      <w:b w:val="1"/>
      <w:bCs w:val="1"/>
      <w:color w:val="ffffff" w:themeColor="background1"/>
    </w:rPr>
  </w:style>
  <w:style w:type="paragraph" w:styleId="Style1boxes" w:customStyle="1">
    <w:name w:val="Style1 boxes"/>
    <w:basedOn w:val="Normal"/>
    <w:link w:val="Style1boxesChar"/>
    <w:qFormat w:val="1"/>
    <w:rsid w:val="00F41A6E"/>
    <w:pPr>
      <w:spacing w:after="0" w:line="240" w:lineRule="auto"/>
      <w:jc w:val="center"/>
      <w:textDirection w:val="btLr"/>
    </w:pPr>
    <w:rPr>
      <w:color w:val="023f2e"/>
      <w:sz w:val="16"/>
    </w:rPr>
  </w:style>
  <w:style w:type="character" w:styleId="Style1boxesChar" w:customStyle="1">
    <w:name w:val="Style1 boxes Char"/>
    <w:basedOn w:val="DefaultParagraphFont"/>
    <w:link w:val="Style1boxes"/>
    <w:rsid w:val="00F41A6E"/>
    <w:rPr>
      <w:color w:val="023f2e"/>
      <w:sz w:val="16"/>
    </w:rPr>
  </w:style>
  <w:style w:type="paragraph" w:styleId="Revision">
    <w:name w:val="Revision"/>
    <w:hidden w:val="1"/>
    <w:uiPriority w:val="99"/>
    <w:semiHidden w:val="1"/>
    <w:rsid w:val="00DF0E02"/>
    <w:pPr>
      <w:spacing w:after="0" w:line="240" w:lineRule="auto"/>
      <w:jc w:val="left"/>
    </w:pPr>
  </w:style>
  <w:style w:type="paragraph" w:styleId="CommentSubject">
    <w:name w:val="annotation subject"/>
    <w:basedOn w:val="CommentText"/>
    <w:next w:val="CommentText"/>
    <w:link w:val="CommentSubjectChar"/>
    <w:uiPriority w:val="99"/>
    <w:semiHidden w:val="1"/>
    <w:unhideWhenUsed w:val="1"/>
    <w:rsid w:val="00DF0E02"/>
    <w:rPr>
      <w:b w:val="1"/>
      <w:bCs w:val="1"/>
    </w:rPr>
  </w:style>
  <w:style w:type="character" w:styleId="CommentSubjectChar" w:customStyle="1">
    <w:name w:val="Comment Subject Char"/>
    <w:basedOn w:val="CommentTextChar"/>
    <w:link w:val="CommentSubject"/>
    <w:uiPriority w:val="99"/>
    <w:semiHidden w:val="1"/>
    <w:rsid w:val="00DF0E02"/>
    <w:rPr>
      <w:b w:val="1"/>
      <w:bCs w:val="1"/>
    </w:rPr>
  </w:style>
  <w:style w:type="character" w:styleId="PlaceholderText">
    <w:name w:val="Placeholder Text"/>
    <w:basedOn w:val="DefaultParagraphFont"/>
    <w:uiPriority w:val="99"/>
    <w:semiHidden w:val="1"/>
    <w:rsid w:val="006430BB"/>
    <w:rPr>
      <w:color w:val="666666"/>
    </w:rPr>
  </w:style>
  <w:style w:type="character" w:styleId="TitleChar" w:customStyle="1">
    <w:name w:val="Title Char"/>
    <w:basedOn w:val="DefaultParagraphFont"/>
    <w:link w:val="Title"/>
    <w:uiPriority w:val="10"/>
    <w:rsid w:val="00272BF4"/>
    <w:rPr>
      <w:b w:val="1"/>
      <w:color w:val="262626"/>
      <w:sz w:val="36"/>
      <w:szCs w:val="36"/>
    </w:rPr>
  </w:style>
  <w:style w:type="table" w:styleId="ELIASStyle2" w:customStyle="1">
    <w:name w:val="ELIAS Style  2"/>
    <w:basedOn w:val="TableNormal"/>
    <w:uiPriority w:val="99"/>
    <w:rsid w:val="00272BF4"/>
    <w:pPr>
      <w:spacing w:after="0" w:line="240" w:lineRule="auto"/>
      <w:jc w:val="left"/>
    </w:pPr>
    <w:rPr>
      <w:rFonts w:cstheme="minorBidi" w:eastAsiaTheme="minorEastAsia"/>
      <w:lang w:eastAsia="en-US"/>
    </w:rPr>
    <w:tblPr>
      <w:tblStyleRow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blStylePr w:type="firstRow">
      <w:rPr>
        <w:rFonts w:ascii="Poppins" w:hAnsi="Poppins"/>
        <w:b w:val="1"/>
        <w:sz w:val="20"/>
      </w:rPr>
      <w:tblPr/>
      <w:tcPr>
        <w:shd w:color="auto" w:fill="023f2e" w:themeFill="accent1" w:val="clear"/>
      </w:tcPr>
    </w:tblStylePr>
    <w:tblStylePr w:type="band1Horz">
      <w:tblPr/>
      <w:tcPr>
        <w:shd w:color="auto" w:fill="f2f2f2" w:val="clear"/>
      </w:tcPr>
    </w:tblStylePr>
    <w:tblStylePr w:type="band2Horz">
      <w:tblPr/>
      <w:tcPr>
        <w:tc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cBorders>
        <w:shd w:color="auto" w:fill="d9d9d9" w:val="clear"/>
      </w:tcPr>
    </w:tblStylePr>
  </w:style>
  <w:style w:type="paragraph" w:styleId="TABLEHEADERS" w:customStyle="1">
    <w:name w:val="TABLE HEADERS"/>
    <w:basedOn w:val="Normal"/>
    <w:link w:val="TABLEHEADERSChar"/>
    <w:qFormat w:val="1"/>
    <w:rsid w:val="00272BF4"/>
    <w:pPr>
      <w:spacing w:after="0" w:line="240" w:lineRule="auto"/>
      <w:jc w:val="left"/>
    </w:pPr>
    <w:rPr>
      <w:rFonts w:eastAsiaTheme="minorEastAsia"/>
      <w:b w:val="1"/>
      <w:color w:val="ffffff" w:themeColor="background1"/>
      <w:lang w:eastAsia="en-US"/>
    </w:rPr>
  </w:style>
  <w:style w:type="character" w:styleId="TABLEHEADERSChar" w:customStyle="1">
    <w:name w:val="TABLE HEADERS Char"/>
    <w:basedOn w:val="DefaultParagraphFont"/>
    <w:link w:val="TABLEHEADERS"/>
    <w:rsid w:val="00272BF4"/>
    <w:rPr>
      <w:rFonts w:eastAsiaTheme="minorEastAsia"/>
      <w:b w:val="1"/>
      <w:color w:val="ffffff" w:themeColor="background1"/>
      <w:lang w:eastAsia="en-US"/>
    </w:rPr>
  </w:style>
  <w:style w:type="table" w:styleId="ELIASStyle3" w:customStyle="1">
    <w:name w:val="ELIAS Style 3"/>
    <w:basedOn w:val="TableNormal"/>
    <w:uiPriority w:val="99"/>
    <w:rsid w:val="00272BF4"/>
    <w:pPr>
      <w:spacing w:after="0" w:line="240" w:lineRule="auto"/>
      <w:jc w:val="left"/>
    </w:pPr>
    <w:rPr>
      <w:rFonts w:cstheme="minorBidi" w:eastAsiaTheme="minorEastAsia"/>
      <w:lang w:eastAsia="en-US"/>
    </w:rPr>
    <w:tblPr>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d9d9" w:val="clear"/>
    </w:tcPr>
    <w:tblStylePr w:type="firstRow">
      <w:rPr>
        <w:b w:val="1"/>
      </w:rPr>
      <w:tblPr/>
      <w:tcPr>
        <w:shd w:color="auto" w:fill="023f2e" w:val="clear"/>
      </w:tcPr>
    </w:tblStylePr>
    <w:tblStylePr w:type="firstCol">
      <w:rPr>
        <w:b w:val="1"/>
      </w:rPr>
      <w:tblPr/>
      <w:tcPr>
        <w:shd w:color="auto" w:fill="00bf63" w:themeFill="accent2" w:val="clear"/>
      </w:tcPr>
    </w:tblStylePr>
    <w:tblStylePr w:type="nwCell">
      <w:tblPr/>
      <w:tcPr>
        <w:tcBorders>
          <w:top w:space="0" w:sz="0" w:val="nil"/>
          <w:left w:space="0" w:sz="0" w:val="nil"/>
          <w:bottom w:space="0" w:sz="0" w:val="nil"/>
          <w:right w:space="0" w:sz="0" w:val="nil"/>
          <w:insideH w:space="0" w:sz="0" w:val="nil"/>
          <w:insideV w:space="0" w:sz="0" w:val="nil"/>
        </w:tcBorders>
        <w:shd w:color="auto" w:fill="f5f5f5" w:val="clear"/>
      </w:tcPr>
    </w:tblStylePr>
  </w:style>
  <w:style w:type="table" w:styleId="ELIASSTYLE4" w:customStyle="1">
    <w:name w:val="ELIAS STYLE 4"/>
    <w:basedOn w:val="TableNormal"/>
    <w:uiPriority w:val="99"/>
    <w:rsid w:val="00272BF4"/>
    <w:pPr>
      <w:spacing w:after="0" w:line="240" w:lineRule="auto"/>
      <w:jc w:val="left"/>
    </w:pPr>
    <w:rPr>
      <w:rFonts w:asciiTheme="minorHAnsi" w:cstheme="minorBidi" w:eastAsiaTheme="minorEastAsia" w:hAnsiTheme="minorHAnsi"/>
      <w:lang w:eastAsia="en-US"/>
    </w:rPr>
    <w:tblPr>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d9d9" w:val="clear"/>
    </w:tcPr>
    <w:tblStylePr w:type="firstCol">
      <w:rPr>
        <w:rFonts w:ascii="Poppins" w:hAnsi="Poppins"/>
        <w:b w:val="1"/>
      </w:rPr>
      <w:tblPr/>
      <w:tcPr>
        <w:tc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cBorders>
        <w:shd w:color="auto" w:fill="023f2e" w:val="clear"/>
      </w:tcPr>
    </w:tblStylePr>
  </w:style>
  <w:style w:type="table" w:styleId="Table1">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firstCol">
      <w:rPr>
        <w:rFonts w:ascii="Poppins" w:cs="Poppins" w:eastAsia="Poppins" w:hAnsi="Poppins"/>
        <w:b w:val="1"/>
      </w:r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fill="023f2e" w:val="clear"/>
      </w:tcPr>
    </w:tblStylePr>
  </w:style>
  <w:style w:type="table" w:styleId="Table2">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firstCol">
      <w:rPr>
        <w:rFonts w:ascii="Poppins" w:cs="Poppins" w:eastAsia="Poppins" w:hAnsi="Poppins"/>
        <w:b w:val="1"/>
      </w:r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fill="023f2e" w:val="clear"/>
      </w:tcPr>
    </w:tblStylePr>
  </w:style>
  <w:style w:type="table" w:styleId="Table3">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band1Horz">
      <w:tcPr>
        <w:shd w:fill="f2f2f2" w:val="clear"/>
      </w:tcPr>
    </w:tblStylePr>
    <w:tblStylePr w:type="band2Horz">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fill="d9d9d9" w:val="clear"/>
      </w:tcPr>
    </w:tblStylePr>
    <w:tblStylePr w:type="firstRow">
      <w:rPr>
        <w:rFonts w:ascii="Poppins" w:cs="Poppins" w:eastAsia="Poppins" w:hAnsi="Poppins"/>
        <w:b w:val="1"/>
        <w:sz w:val="20"/>
        <w:szCs w:val="20"/>
      </w:rPr>
      <w:tcPr>
        <w:shd w:fill="023f2e" w:val="clear"/>
      </w:tcPr>
    </w:tblStylePr>
  </w:style>
  <w:style w:type="table" w:styleId="Table4">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band1Horz">
      <w:tcPr>
        <w:shd w:fill="f2f2f2" w:val="clear"/>
      </w:tcPr>
    </w:tblStylePr>
    <w:tblStylePr w:type="band2Horz">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fill="d9d9d9" w:val="clear"/>
      </w:tcPr>
    </w:tblStylePr>
    <w:tblStylePr w:type="firstRow">
      <w:rPr>
        <w:rFonts w:ascii="Poppins" w:cs="Poppins" w:eastAsia="Poppins" w:hAnsi="Poppins"/>
        <w:b w:val="1"/>
        <w:sz w:val="20"/>
        <w:szCs w:val="20"/>
      </w:rPr>
      <w:tcPr>
        <w:shd w:fill="023f2e" w:val="clear"/>
      </w:tcPr>
    </w:tblStylePr>
  </w:style>
  <w:style w:type="table" w:styleId="Table5">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band1Horz">
      <w:tcPr>
        <w:shd w:fill="f2f2f2" w:val="clear"/>
      </w:tcPr>
    </w:tblStylePr>
    <w:tblStylePr w:type="band2Horz">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fill="d9d9d9" w:val="clear"/>
      </w:tcPr>
    </w:tblStylePr>
    <w:tblStylePr w:type="firstRow">
      <w:rPr>
        <w:rFonts w:ascii="Poppins" w:cs="Poppins" w:eastAsia="Poppins" w:hAnsi="Poppins"/>
        <w:b w:val="1"/>
        <w:sz w:val="20"/>
        <w:szCs w:val="20"/>
      </w:rPr>
      <w:tcPr>
        <w:shd w:fill="023f2e" w:val="clear"/>
      </w:tcPr>
    </w:tblStylePr>
  </w:style>
  <w:style w:type="table" w:styleId="Table6">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band1Horz">
      <w:tcPr>
        <w:shd w:fill="f2f2f2" w:val="clear"/>
      </w:tcPr>
    </w:tblStylePr>
    <w:tblStylePr w:type="band2Horz">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fill="d9d9d9" w:val="clear"/>
      </w:tcPr>
    </w:tblStylePr>
    <w:tblStylePr w:type="firstRow">
      <w:rPr>
        <w:rFonts w:ascii="Poppins" w:cs="Poppins" w:eastAsia="Poppins" w:hAnsi="Poppins"/>
        <w:b w:val="1"/>
        <w:sz w:val="20"/>
        <w:szCs w:val="20"/>
      </w:rPr>
      <w:tcPr>
        <w:shd w:fill="023f2e" w:val="clear"/>
      </w:tcPr>
    </w:tblStylePr>
  </w:style>
  <w:style w:type="table" w:styleId="Table7">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firstCol">
      <w:rPr>
        <w:b w:val="1"/>
      </w:rPr>
      <w:tcPr>
        <w:shd w:fill="00bf63" w:val="clear"/>
      </w:tcPr>
    </w:tblStylePr>
    <w:tblStylePr w:type="firstRow">
      <w:rPr>
        <w:b w:val="1"/>
      </w:rPr>
      <w:tcPr>
        <w:shd w:fill="023f2e" w:val="clear"/>
      </w:tcPr>
    </w:tblStylePr>
    <w:tblStylePr w:type="nwCell">
      <w:tcPr>
        <w:tcBorders>
          <w:top w:color="000000" w:space="0" w:sz="0" w:val="nil"/>
          <w:left w:color="000000" w:space="0" w:sz="0" w:val="nil"/>
          <w:bottom w:color="000000" w:space="0" w:sz="0" w:val="nil"/>
          <w:right w:color="000000" w:space="0" w:sz="0" w:val="nil"/>
          <w:insideH w:color="000000" w:space="0" w:sz="0" w:val="nil"/>
          <w:insideV w:color="000000" w:space="0" w:sz="0" w:val="nil"/>
        </w:tcBorders>
        <w:shd w:fill="f5f5f5" w:val="clear"/>
      </w:tcPr>
    </w:tblStylePr>
  </w:style>
  <w:style w:type="table" w:styleId="Table8">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firstCol">
      <w:rPr>
        <w:rFonts w:ascii="Poppins" w:cs="Poppins" w:eastAsia="Poppins" w:hAnsi="Poppins"/>
        <w:b w:val="1"/>
      </w:r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fill="023f2e" w:val="clear"/>
      </w:tcPr>
    </w:tblStylePr>
  </w:style>
  <w:style w:type="table" w:styleId="Table9">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style>
  <w:style w:type="table" w:styleId="Table1">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tblStylePr w:type="firstCol">
      <w:rPr>
        <w:rFonts w:ascii="Poppins" w:cs="Poppins" w:eastAsia="Poppins" w:hAnsi="Poppins"/>
        <w:b w:val="1"/>
      </w:r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fill="023f2e" w:val="clear"/>
      </w:tcPr>
    </w:tblStylePr>
  </w:style>
  <w:style w:type="table" w:styleId="Table2">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style>
  <w:style w:type="paragraph" w:styleId="Subtitle">
    <w:name w:val="Subtitle"/>
    <w:basedOn w:val="Normal"/>
    <w:next w:val="Normal"/>
    <w:pPr>
      <w:pBdr>
        <w:top w:color="00bf63" w:space="1" w:sz="8" w:val="single"/>
      </w:pBdr>
      <w:spacing w:after="120" w:line="240" w:lineRule="auto"/>
      <w:jc w:val="right"/>
    </w:pPr>
    <w:rPr>
      <w:b w:val="1"/>
      <w:color w:val="262626"/>
      <w:sz w:val="32"/>
      <w:szCs w:val="32"/>
    </w:rPr>
  </w:style>
  <w:style w:type="table" w:styleId="Table1">
    <w:basedOn w:val="TableNormal"/>
    <w:pPr>
      <w:spacing w:after="0" w:line="240" w:lineRule="auto"/>
      <w:jc w:val="left"/>
    </w:pPr>
    <w:rPr>
      <w:rFonts w:ascii="Poppins" w:cs="Poppins" w:eastAsia="Poppins" w:hAnsi="Poppins"/>
    </w:rPr>
    <w:tblPr>
      <w:tblStyleRowBandSize w:val="1"/>
      <w:tblStyleColBandSize w:val="1"/>
      <w:tblCellMar>
        <w:top w:w="0.0" w:type="dxa"/>
        <w:left w:w="115.0" w:type="dxa"/>
        <w:bottom w:w="0.0" w:type="dxa"/>
        <w:right w:w="115.0" w:type="dxa"/>
      </w:tblCellMar>
    </w:tblPr>
    <w:tcPr>
      <w:shd w:fill="d9d9d9"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3.png"/><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ELIAS CoLour Palette">
      <a:dk1>
        <a:sysClr val="windowText" lastClr="000000"/>
      </a:dk1>
      <a:lt1>
        <a:sysClr val="window" lastClr="FFFFFF"/>
      </a:lt1>
      <a:dk2>
        <a:srgbClr val="3F3F3F"/>
      </a:dk2>
      <a:lt2>
        <a:srgbClr val="E7E6E6"/>
      </a:lt2>
      <a:accent1>
        <a:srgbClr val="023F2E"/>
      </a:accent1>
      <a:accent2>
        <a:srgbClr val="00BF63"/>
      </a:accent2>
      <a:accent3>
        <a:srgbClr val="8DC63F"/>
      </a:accent3>
      <a:accent4>
        <a:srgbClr val="00A77A"/>
      </a:accent4>
      <a:accent5>
        <a:srgbClr val="034B92"/>
      </a:accent5>
      <a:accent6>
        <a:srgbClr val="00BF63"/>
      </a:accent6>
      <a:hlink>
        <a:srgbClr val="034B92"/>
      </a:hlink>
      <a:folHlink>
        <a:srgbClr val="0070C0"/>
      </a:folHlink>
    </a:clrScheme>
    <a:fontScheme name="ELIA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Uul3EtvKwaSpXPQs6Qm6nzS6fQ==">CgMxLjAyDmgucjY4NjUwM2Zvc2s0Mg5oLjIzaGU0dnlldW1qYjIJaC4xY2k5M3hiOAByITFlbGlub255UlgzQWE5ZW1PVEpyZGFBYnpwNElCLVRxNQ==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2024-02-01T15:18:00Z</dcterms:created>
  <dc:creator>agarayeva@fbk.eu</dc:creator>
</cp:coreProperties>
</file>